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6A7005B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45FD3">
        <w:t>Macro conditions reflect growth slowing from elevated levels with softening earnings momentum and inflation easing but still above pre-COVID norms, consistent with stronger gold, softer yields, and firmer bonds alongside a flat dollar and a weaker energy complex, all of which support a moderately constructive but increasingly selective stance toward pro-cyclical and quality risk assets over classic defensives.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26426"/>
    <w:rsid w:val="00B45FD3"/>
    <w:rsid w:val="00BA3171"/>
    <w:rsid w:val="00BC5D14"/>
    <w:rsid w:val="00BE54F7"/>
    <w:rsid w:val="00C34B33"/>
    <w:rsid w:val="00C61AC6"/>
    <w:rsid w:val="00C82FF7"/>
    <w:rsid w:val="00CB07A2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58</Words>
  <Characters>369</Characters>
  <Application>Microsoft Office Word</Application>
  <DocSecurity>0</DocSecurity>
  <Lines>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55</cp:revision>
  <dcterms:created xsi:type="dcterms:W3CDTF">2025-10-14T15:51:00Z</dcterms:created>
  <dcterms:modified xsi:type="dcterms:W3CDTF">2026-01-06T01:04:00Z</dcterms:modified>
</cp:coreProperties>
</file>