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64349FB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F7937">
        <w:t>Macro conditions reflect an environment where growth is slowing and earnings revisions remain pressured while inflation decelerates but stays above pre-COVID norms, consistent with firm yields, a steady USD, resilient bonds, soft energy prices, and strong gold, suggesting markets are cautiously embracing risk but still paying for hedges against persistent inflation and late-cycle slowdown risk.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</Words>
  <Characters>355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48</cp:revision>
  <dcterms:created xsi:type="dcterms:W3CDTF">2025-10-18T00:26:00Z</dcterms:created>
  <dcterms:modified xsi:type="dcterms:W3CDTF">2026-01-06T01:05:00Z</dcterms:modified>
</cp:coreProperties>
</file>