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rate sensitivity is broadly negative across major equity sectors, with Utilities showing the most concentrated equity-side linkage to yields and small caps (Russell 2000) close behind. The S&amp;P 500, Nasdaq 100, and Financials are all moderately inversely tied to moves in the 10-year, signaling that recent equity gains have generally come when yields ease. The near-zero 90-day correlations for most indices suggest that this pattern is more of a recent development than a persistent feature over the last quarter.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