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BD8A736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D50C9">
        <w:t>Macro conditions reflect an environment where growth is slowing and earnings expectations are grinding lower even as inflation moderates from peak levels but stays structurally higher than the pre-COVID regime, a mix reinforced by stronger Gold and USD, firm bond prices alongside flat yields, and a softer energy complex that together point to investors seeking quality and protection while still selectively embracing equity risk in areas leveraged to pricing power and balance-sheet strength.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75</Words>
  <Characters>434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56</cp:revision>
  <dcterms:created xsi:type="dcterms:W3CDTF">2025-10-18T00:26:00Z</dcterms:created>
  <dcterms:modified xsi:type="dcterms:W3CDTF">2026-01-16T01:05:00Z</dcterms:modified>
</cp:coreProperties>
</file>