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broad U. S. equities and sectors show only mild day‑to‑day linkage to the 10-year yield, with all listed equity and sector correlations sitting in a contained range. The Nasdaq 100 is the most rate‑sensitive of the equity indices on this window, tilting modestly negative to rising yields, while the S&amp;P 500 and Russell 2000 sit closer to neutral.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