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past 30 days, most major assets have shown only mild and contained day‑to‑day linkage to the dollar, with equities, oil, broad commodities, and bitcoin all hovering near zero correlation. The clearest relationship is with gold, where moves have been modestly inverse to the USD and fairly consistent across 15D, 30D, and 90D windows, so USD sensitivity is concentrated there rather than broad-based across the complex.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