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past 30 trading days, large-cap U. S. equities, especially the Nasdaq 100, show a clear negative linkage to moves in the 10-year yield, indicating growth and tech names have been most sensitive to rate changes. The S&amp;P 500 echoes this pattern, while the Russell 2000 and Financials display only contained rate sensitivity, suggesting their day-to-day moves have been less driven by yields.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