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On the 30D window, gold shows the clearest and most consistent inverse linkage to the dollar, with that influence concentrated in GLD and reinforced by even stronger short-term (15D) and still negative 90D correlations. Bitcoin is the main pro-USD mover, with a moderate positive 30D correlation that has strengthened recently versus its 90D trend. The S&amp;P 500, oil, and broad commodities all show relatively contained 30D correlations, indicating limited and less reliable USD sensitivity over this horizon.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