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FA3E7" w14:textId="77777777" w:rsidR="00100809" w:rsidRDefault="00000000">
      <w:r>
        <w:t>Quarterly Market Read: January 13, 2026</w:t>
      </w:r>
    </w:p>
    <w:p w14:paraId="24D43F65" w14:textId="77777777" w:rsidR="00100809" w:rsidRDefault="00000000">
      <w:r>
        <w:t>The market is saying (all numbers are QTD % returns):</w:t>
      </w:r>
    </w:p>
    <w:p w14:paraId="7D90DCAE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Breadth: 72.5% of names are positive.</w:t>
      </w:r>
    </w:p>
    <w:p w14:paraId="396EFAFE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Information Technology: firm (avg +3.51%)</w:t>
      </w:r>
    </w:p>
    <w:p w14:paraId="719FBECF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Industrials: leading (avg +5.80%)</w:t>
      </w:r>
    </w:p>
    <w:p w14:paraId="1867F18E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Consumer Staples: firm (avg +3.66%)</w:t>
      </w:r>
    </w:p>
    <w:p w14:paraId="66AA8CDB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Consumer Discretionary: leading (avg +5.35%)</w:t>
      </w:r>
    </w:p>
    <w:p w14:paraId="37EA9735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Financials: flat/firm (avg +0.36%)</w:t>
      </w:r>
    </w:p>
    <w:p w14:paraId="3DB7AA70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Utilities: flat/firm (avg +0.58%)</w:t>
      </w:r>
    </w:p>
    <w:p w14:paraId="4A1270E4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Real Estate: flat/firm (avg +1.23%)</w:t>
      </w:r>
    </w:p>
    <w:p w14:paraId="4081AB60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Materials: leading (avg +7.84%)</w:t>
      </w:r>
    </w:p>
    <w:p w14:paraId="499865D4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Energy: leading (avg +4.34%)</w:t>
      </w:r>
    </w:p>
    <w:p w14:paraId="76875BB1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Health Care: firm (avg +2.98%)</w:t>
      </w:r>
    </w:p>
    <w:p w14:paraId="41D581CC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Communication Services: soft (avg -2.22%)</w:t>
      </w:r>
    </w:p>
    <w:p w14:paraId="36E1498C" w14:textId="77777777" w:rsidR="00100809" w:rsidRDefault="00000000" w:rsidP="00B471AA">
      <w:pPr>
        <w:pStyle w:val="ListBullet"/>
        <w:numPr>
          <w:ilvl w:val="0"/>
          <w:numId w:val="10"/>
        </w:numPr>
      </w:pPr>
      <w:r>
        <w:t>Energy Complex: soft (avg -0.71%)</w:t>
      </w:r>
    </w:p>
    <w:p w14:paraId="5E1289CA" w14:textId="77777777" w:rsidR="00100809" w:rsidRDefault="00000000">
      <w:r>
        <w:t>Macro levers (QTD % returns):</w:t>
      </w:r>
    </w:p>
    <w:p w14:paraId="083D020C" w14:textId="77777777" w:rsidR="00100809" w:rsidRDefault="00000000" w:rsidP="00B471AA">
      <w:pPr>
        <w:pStyle w:val="ListBullet"/>
        <w:numPr>
          <w:ilvl w:val="0"/>
          <w:numId w:val="11"/>
        </w:numPr>
      </w:pPr>
      <w:r>
        <w:t>Gold: bid (avg +6.39%)</w:t>
      </w:r>
    </w:p>
    <w:p w14:paraId="27843CE9" w14:textId="77777777" w:rsidR="00100809" w:rsidRDefault="00000000" w:rsidP="00B471AA">
      <w:pPr>
        <w:pStyle w:val="ListBullet"/>
        <w:numPr>
          <w:ilvl w:val="0"/>
          <w:numId w:val="11"/>
        </w:numPr>
      </w:pPr>
      <w:r>
        <w:t>USD: firm (avg +1.18%)</w:t>
      </w:r>
    </w:p>
    <w:p w14:paraId="1721731D" w14:textId="77777777" w:rsidR="00100809" w:rsidRDefault="00000000" w:rsidP="00B471AA">
      <w:pPr>
        <w:pStyle w:val="ListBullet"/>
        <w:numPr>
          <w:ilvl w:val="0"/>
          <w:numId w:val="11"/>
        </w:numPr>
      </w:pPr>
      <w:r>
        <w:t>Yields: flat (avg +0.17%)</w:t>
      </w:r>
    </w:p>
    <w:p w14:paraId="7949E969" w14:textId="77777777" w:rsidR="00100809" w:rsidRDefault="00000000" w:rsidP="00B471AA">
      <w:pPr>
        <w:pStyle w:val="ListBullet"/>
        <w:numPr>
          <w:ilvl w:val="0"/>
          <w:numId w:val="11"/>
        </w:numPr>
      </w:pPr>
      <w:r>
        <w:t>Bonds: flat (avg +0.43%)</w:t>
      </w:r>
    </w:p>
    <w:p w14:paraId="238C6518" w14:textId="77777777" w:rsidR="00100809" w:rsidRDefault="00000000" w:rsidP="00B471AA">
      <w:pPr>
        <w:pStyle w:val="ListBullet"/>
        <w:numPr>
          <w:ilvl w:val="0"/>
          <w:numId w:val="11"/>
        </w:numPr>
      </w:pPr>
      <w:r>
        <w:t>Energy Complex: soft (avg -0.71%)</w:t>
      </w:r>
    </w:p>
    <w:p w14:paraId="4B163F28" w14:textId="77777777" w:rsidR="00100809" w:rsidRDefault="00000000">
      <w:r>
        <w:t>Bottom line: Breadth is constructive with roughly three-quarters of names positive QTD, and leadership is rotating toward cyclicals and hard assets as Materials (+7.84%), Industrials (+5.80%), Consumer Discretionary (+5.35%), and Energy equities (+4.34%) pace gains alongside firm Technology and defensives, while Communication Services is the notable laggard (-2.22%) and Financials, Utilities, and Real Estate grind flat-to-firm. Macro conditions reflect slowing growth with pressured earnings expectations alongside still-sticky inflation, and the tape is consistent with that mix: a bid in Gold, a firm USD, and flat yields and bonds signal a preference for quality and hedges against persistent price pressure, while a soft Energy complex underscores tempered demand expectations even as equity leadership tilts toward sectors levered to nominal rather than real growth.</w:t>
      </w:r>
    </w:p>
    <w:sectPr w:rsidR="001008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2659DE"/>
    <w:multiLevelType w:val="hybridMultilevel"/>
    <w:tmpl w:val="E7621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54BA7"/>
    <w:multiLevelType w:val="hybridMultilevel"/>
    <w:tmpl w:val="219A9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838237">
    <w:abstractNumId w:val="8"/>
  </w:num>
  <w:num w:numId="2" w16cid:durableId="1175653318">
    <w:abstractNumId w:val="6"/>
  </w:num>
  <w:num w:numId="3" w16cid:durableId="442844857">
    <w:abstractNumId w:val="5"/>
  </w:num>
  <w:num w:numId="4" w16cid:durableId="1948075399">
    <w:abstractNumId w:val="4"/>
  </w:num>
  <w:num w:numId="5" w16cid:durableId="925381127">
    <w:abstractNumId w:val="7"/>
  </w:num>
  <w:num w:numId="6" w16cid:durableId="188955792">
    <w:abstractNumId w:val="3"/>
  </w:num>
  <w:num w:numId="7" w16cid:durableId="585922561">
    <w:abstractNumId w:val="2"/>
  </w:num>
  <w:num w:numId="8" w16cid:durableId="1014694063">
    <w:abstractNumId w:val="1"/>
  </w:num>
  <w:num w:numId="9" w16cid:durableId="497304857">
    <w:abstractNumId w:val="0"/>
  </w:num>
  <w:num w:numId="10" w16cid:durableId="812405413">
    <w:abstractNumId w:val="10"/>
  </w:num>
  <w:num w:numId="11" w16cid:durableId="15763555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0809"/>
    <w:rsid w:val="0015074B"/>
    <w:rsid w:val="0029639D"/>
    <w:rsid w:val="00326F90"/>
    <w:rsid w:val="00AA1D8D"/>
    <w:rsid w:val="00B471AA"/>
    <w:rsid w:val="00B47730"/>
    <w:rsid w:val="00C93B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51A492"/>
  <w14:defaultImageDpi w14:val="300"/>
  <w15:docId w15:val="{532D2D1E-7121-47B3-8365-4B2E22606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2026-01-14T01:07:00Z</dcterms:created>
  <dcterms:modified xsi:type="dcterms:W3CDTF">2026-01-14T01:07:00Z</dcterms:modified>
  <cp:category/>
</cp:coreProperties>
</file>