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past 30 days, rate sensitivity is broadly negative across major equities, with the Nasdaq 100 showing the most concentrated equity linkage to higher yields and the S&amp;P 500 and Russell 2000 also tilting modestly inverse. Utilities have swung from a positive 15D link to a clearly negative 30D reading, underscoring how quickly their rate exposure can flip. Financials stand out for having relatively contained 30D sensitivity, suggesting their daily moves have been less tightly tied to shifts in the 10-year yield than other sectors and indexes.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