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a 30-day basis, USD sensitivity is concentrated in gold, which shows a clear inverse relationship, while equities, oil, and broad commodities are only modestly USD-linked. The shorter 15-day window shows a slightly stronger negative tilt across risk assets, but this fades noticeably over 90 days. Bitcoin remains essentially uncoupled from the dollar across all horizons.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