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32F99" w14:textId="77777777" w:rsidR="00C9111A" w:rsidRDefault="00000000">
      <w:r>
        <w:t>Monthly Market Read: January 16, 2026</w:t>
      </w:r>
    </w:p>
    <w:p w14:paraId="0285D269" w14:textId="77777777" w:rsidR="00C9111A" w:rsidRDefault="00000000">
      <w:r>
        <w:t>The market is saying (all numbers are MTD % returns):</w:t>
      </w:r>
    </w:p>
    <w:p w14:paraId="62E5AF5A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Breadth: 72.7% of names are positive.</w:t>
      </w:r>
    </w:p>
    <w:p w14:paraId="20850C28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Information Technology: leading (avg +3.59%)</w:t>
      </w:r>
    </w:p>
    <w:p w14:paraId="2B3019B3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Industrials: leading (avg +7.44%)</w:t>
      </w:r>
    </w:p>
    <w:p w14:paraId="6F56A039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Consumer Staples: leading (avg +5.06%)</w:t>
      </w:r>
    </w:p>
    <w:p w14:paraId="694D8D63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Consumer Discretionary: leading (avg +3.62%)</w:t>
      </w:r>
    </w:p>
    <w:p w14:paraId="5F35F158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Financials: leading (avg +0.83%)</w:t>
      </w:r>
    </w:p>
    <w:p w14:paraId="3378A9C4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Utilities: leading (avg +2.47%)</w:t>
      </w:r>
    </w:p>
    <w:p w14:paraId="37159427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Real Estate: leading (avg +4.60%)</w:t>
      </w:r>
    </w:p>
    <w:p w14:paraId="51E16EBD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Materials: leading (avg +8.05%)</w:t>
      </w:r>
    </w:p>
    <w:p w14:paraId="506228F1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Energy: leading (avg +5.24%)</w:t>
      </w:r>
    </w:p>
    <w:p w14:paraId="60C98F0C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Health Care: leading (avg +3.18%)</w:t>
      </w:r>
    </w:p>
    <w:p w14:paraId="2F81B5F9" w14:textId="77777777" w:rsidR="00C9111A" w:rsidRDefault="00000000" w:rsidP="00806098">
      <w:pPr>
        <w:pStyle w:val="ListBullet"/>
        <w:numPr>
          <w:ilvl w:val="0"/>
          <w:numId w:val="10"/>
        </w:numPr>
      </w:pPr>
      <w:r>
        <w:t>Communication Services: lagging (avg -3.76%)</w:t>
      </w:r>
    </w:p>
    <w:p w14:paraId="065C52EF" w14:textId="77777777" w:rsidR="00C9111A" w:rsidRDefault="00000000">
      <w:r>
        <w:t>Macro levers (MTD % returns):</w:t>
      </w:r>
    </w:p>
    <w:p w14:paraId="1EE65F76" w14:textId="77777777" w:rsidR="00C9111A" w:rsidRDefault="00000000" w:rsidP="00806098">
      <w:pPr>
        <w:pStyle w:val="ListBullet"/>
        <w:numPr>
          <w:ilvl w:val="0"/>
          <w:numId w:val="11"/>
        </w:numPr>
      </w:pPr>
      <w:r>
        <w:t>Gold: leading (avg +6.30%)</w:t>
      </w:r>
    </w:p>
    <w:p w14:paraId="06E8F408" w14:textId="77777777" w:rsidR="00C9111A" w:rsidRDefault="00000000" w:rsidP="00806098">
      <w:pPr>
        <w:pStyle w:val="ListBullet"/>
        <w:numPr>
          <w:ilvl w:val="0"/>
          <w:numId w:val="11"/>
        </w:numPr>
      </w:pPr>
      <w:r>
        <w:t>USD: leading (avg +1.11%)</w:t>
      </w:r>
    </w:p>
    <w:p w14:paraId="31E6994B" w14:textId="77777777" w:rsidR="00C9111A" w:rsidRDefault="00000000" w:rsidP="00806098">
      <w:pPr>
        <w:pStyle w:val="ListBullet"/>
        <w:numPr>
          <w:ilvl w:val="0"/>
          <w:numId w:val="11"/>
        </w:numPr>
      </w:pPr>
      <w:r>
        <w:t>Yields: leading (avg +1.49%)</w:t>
      </w:r>
    </w:p>
    <w:p w14:paraId="7693A989" w14:textId="77777777" w:rsidR="00C9111A" w:rsidRDefault="00000000" w:rsidP="00806098">
      <w:pPr>
        <w:pStyle w:val="ListBullet"/>
        <w:numPr>
          <w:ilvl w:val="0"/>
          <w:numId w:val="11"/>
        </w:numPr>
      </w:pPr>
      <w:r>
        <w:t>Bonds: leading (avg +0.35%)</w:t>
      </w:r>
    </w:p>
    <w:p w14:paraId="19DBDE10" w14:textId="77777777" w:rsidR="00C9111A" w:rsidRDefault="00000000" w:rsidP="00806098">
      <w:pPr>
        <w:pStyle w:val="ListBullet"/>
        <w:numPr>
          <w:ilvl w:val="0"/>
          <w:numId w:val="11"/>
        </w:numPr>
      </w:pPr>
      <w:r>
        <w:t>Energy complex: soft (avg -6.07%)</w:t>
      </w:r>
    </w:p>
    <w:p w14:paraId="73802122" w14:textId="77777777" w:rsidR="00C9111A" w:rsidRDefault="00000000">
      <w:r>
        <w:t xml:space="preserve">Bottom line: With roughly 73% of names positive MTD, breadth is solid and the tape is signaling a broadly supportive risk backdrop, while sector leadership is skewed toward cyclicals and defensives alike—Materials (+8.05%), Industrials (+7.44%), Energy equities (+5.24%), Consumer Staples (+5.06%), Real Estate (+4.60%), Consumer Discretionary (+3.62%), Information Technology (+3.59%), Health Care (+3.18%), Utilities (+2.47%), and Financials (+0.83%)—offset by notable underperformance in Communication Services (-3.76%) as the main outlier. </w:t>
      </w:r>
      <w:bookmarkStart w:id="0" w:name="_Hlk219566439"/>
      <w:r>
        <w:t>Macro posture shows growth is decelerating and earnings expectations remain under pressure even as inflation moderates from the peak but stays above pre-COVID norms, a mix reflected in firmer gold (+6.30%), a stronger dollar (+1.11%), higher yields (+1.49%), modestly positive bonds (+0.35%), and a softer energy complex (-6.07%) that, taken together, argue for staying selective within cyclicals while respecting the bid for quality, cash flow, and balance-sheet strength.</w:t>
      </w:r>
      <w:bookmarkEnd w:id="0"/>
    </w:p>
    <w:sectPr w:rsidR="00C911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404F76"/>
    <w:multiLevelType w:val="hybridMultilevel"/>
    <w:tmpl w:val="29C84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9B2B56"/>
    <w:multiLevelType w:val="hybridMultilevel"/>
    <w:tmpl w:val="6C4A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6537623">
    <w:abstractNumId w:val="8"/>
  </w:num>
  <w:num w:numId="2" w16cid:durableId="1727407442">
    <w:abstractNumId w:val="6"/>
  </w:num>
  <w:num w:numId="3" w16cid:durableId="341930614">
    <w:abstractNumId w:val="5"/>
  </w:num>
  <w:num w:numId="4" w16cid:durableId="2098599079">
    <w:abstractNumId w:val="4"/>
  </w:num>
  <w:num w:numId="5" w16cid:durableId="713382577">
    <w:abstractNumId w:val="7"/>
  </w:num>
  <w:num w:numId="6" w16cid:durableId="521356153">
    <w:abstractNumId w:val="3"/>
  </w:num>
  <w:num w:numId="7" w16cid:durableId="1982879770">
    <w:abstractNumId w:val="2"/>
  </w:num>
  <w:num w:numId="8" w16cid:durableId="2134126825">
    <w:abstractNumId w:val="1"/>
  </w:num>
  <w:num w:numId="9" w16cid:durableId="52631479">
    <w:abstractNumId w:val="0"/>
  </w:num>
  <w:num w:numId="10" w16cid:durableId="745686924">
    <w:abstractNumId w:val="10"/>
  </w:num>
  <w:num w:numId="11" w16cid:durableId="7517042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06098"/>
    <w:rsid w:val="00AA1D8D"/>
    <w:rsid w:val="00B4563E"/>
    <w:rsid w:val="00B47730"/>
    <w:rsid w:val="00C9111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5987B8"/>
  <w14:defaultImageDpi w14:val="300"/>
  <w15:docId w15:val="{D80411DB-4CBF-427C-9C1E-2A98B1127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2026-01-17T23:20:00Z</dcterms:created>
  <dcterms:modified xsi:type="dcterms:W3CDTF">2026-01-17T23:20:00Z</dcterms:modified>
  <cp:category/>
</cp:coreProperties>
</file>