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022BC" w14:textId="77777777" w:rsidR="00B00C59" w:rsidRDefault="00000000">
      <w:r>
        <w:t>Quarterly Market Read: January 16, 2026</w:t>
      </w:r>
    </w:p>
    <w:p w14:paraId="13F6C3AE" w14:textId="77777777" w:rsidR="00B00C59" w:rsidRDefault="00000000">
      <w:r>
        <w:t>The market is saying (all numbers are QTD % returns):</w:t>
      </w:r>
    </w:p>
    <w:p w14:paraId="7CBD94C3" w14:textId="77777777" w:rsidR="00B00C59" w:rsidRDefault="00000000">
      <w:pPr>
        <w:pStyle w:val="ListBullet"/>
      </w:pPr>
      <w:r>
        <w:t>Breadth: 72.7% of names are positive.</w:t>
      </w:r>
    </w:p>
    <w:p w14:paraId="1000FC04" w14:textId="77777777" w:rsidR="00B00C59" w:rsidRDefault="00000000">
      <w:pPr>
        <w:pStyle w:val="ListBullet"/>
      </w:pPr>
      <w:r>
        <w:t>Information Technology: firm (avg +3.59%)</w:t>
      </w:r>
    </w:p>
    <w:p w14:paraId="10D0DA95" w14:textId="77777777" w:rsidR="00B00C59" w:rsidRDefault="00000000">
      <w:pPr>
        <w:pStyle w:val="ListBullet"/>
      </w:pPr>
      <w:r>
        <w:t>Industrials: leading (avg +7.44%)</w:t>
      </w:r>
    </w:p>
    <w:p w14:paraId="375E314A" w14:textId="77777777" w:rsidR="00B00C59" w:rsidRDefault="00000000">
      <w:pPr>
        <w:pStyle w:val="ListBullet"/>
      </w:pPr>
      <w:r>
        <w:t>Consumer Staples: leading (avg +5.06%)</w:t>
      </w:r>
    </w:p>
    <w:p w14:paraId="3395AF56" w14:textId="77777777" w:rsidR="00B00C59" w:rsidRDefault="00000000">
      <w:pPr>
        <w:pStyle w:val="ListBullet"/>
      </w:pPr>
      <w:r>
        <w:t>Consumer Discretionary: firm (avg +3.62%)</w:t>
      </w:r>
    </w:p>
    <w:p w14:paraId="10744CB6" w14:textId="77777777" w:rsidR="00B00C59" w:rsidRDefault="00000000">
      <w:pPr>
        <w:pStyle w:val="ListBullet"/>
      </w:pPr>
      <w:r>
        <w:t>Financials: flat/firm (avg +0.83%)</w:t>
      </w:r>
    </w:p>
    <w:p w14:paraId="58AFAD1F" w14:textId="77777777" w:rsidR="00B00C59" w:rsidRDefault="00000000">
      <w:pPr>
        <w:pStyle w:val="ListBullet"/>
      </w:pPr>
      <w:r>
        <w:t>Utilities: firm (avg +2.47%)</w:t>
      </w:r>
    </w:p>
    <w:p w14:paraId="66915148" w14:textId="77777777" w:rsidR="00B00C59" w:rsidRDefault="00000000">
      <w:pPr>
        <w:pStyle w:val="ListBullet"/>
      </w:pPr>
      <w:r>
        <w:t>Real Estate: leading (avg +4.60%)</w:t>
      </w:r>
    </w:p>
    <w:p w14:paraId="6FE81AE2" w14:textId="77777777" w:rsidR="00B00C59" w:rsidRDefault="00000000">
      <w:pPr>
        <w:pStyle w:val="ListBullet"/>
      </w:pPr>
      <w:r>
        <w:t>Materials: leading (avg +8.05%)</w:t>
      </w:r>
    </w:p>
    <w:p w14:paraId="365C473D" w14:textId="77777777" w:rsidR="00B00C59" w:rsidRDefault="00000000">
      <w:pPr>
        <w:pStyle w:val="ListBullet"/>
      </w:pPr>
      <w:r>
        <w:t>Energy: leading (avg +5.24%)</w:t>
      </w:r>
    </w:p>
    <w:p w14:paraId="0D25C1CF" w14:textId="77777777" w:rsidR="00B00C59" w:rsidRDefault="00000000">
      <w:pPr>
        <w:pStyle w:val="ListBullet"/>
      </w:pPr>
      <w:r>
        <w:t>Health Care: firm (avg +3.18%)</w:t>
      </w:r>
    </w:p>
    <w:p w14:paraId="7C88E315" w14:textId="77777777" w:rsidR="00B00C59" w:rsidRDefault="00000000">
      <w:pPr>
        <w:pStyle w:val="ListBullet"/>
      </w:pPr>
      <w:r>
        <w:t>Communication Services: heavy (avg -3.76%)</w:t>
      </w:r>
    </w:p>
    <w:p w14:paraId="0B541537" w14:textId="77777777" w:rsidR="00B00C59" w:rsidRDefault="00000000">
      <w:r>
        <w:t>Macro levers (QTD % returns):</w:t>
      </w:r>
    </w:p>
    <w:p w14:paraId="33BE8425" w14:textId="77777777" w:rsidR="00B00C59" w:rsidRDefault="00000000">
      <w:pPr>
        <w:pStyle w:val="ListBullet"/>
      </w:pPr>
      <w:r>
        <w:t>Gold: bid (avg +6.30%)</w:t>
      </w:r>
    </w:p>
    <w:p w14:paraId="2EE05CE1" w14:textId="77777777" w:rsidR="00B00C59" w:rsidRDefault="00000000">
      <w:pPr>
        <w:pStyle w:val="ListBullet"/>
      </w:pPr>
      <w:r>
        <w:t>USD: firm (avg +1.11%)</w:t>
      </w:r>
    </w:p>
    <w:p w14:paraId="7057EA9E" w14:textId="77777777" w:rsidR="00B00C59" w:rsidRDefault="00000000">
      <w:pPr>
        <w:pStyle w:val="ListBullet"/>
      </w:pPr>
      <w:r>
        <w:t>Yields: firm (avg +1.49%)</w:t>
      </w:r>
    </w:p>
    <w:p w14:paraId="77D0A927" w14:textId="77777777" w:rsidR="00B00C59" w:rsidRDefault="00000000">
      <w:pPr>
        <w:pStyle w:val="ListBullet"/>
      </w:pPr>
      <w:r>
        <w:t>Bonds: flat (avg +0.35%)</w:t>
      </w:r>
    </w:p>
    <w:p w14:paraId="1AF643D1" w14:textId="77777777" w:rsidR="00B00C59" w:rsidRDefault="00000000">
      <w:pPr>
        <w:pStyle w:val="ListBullet"/>
      </w:pPr>
      <w:r>
        <w:t>Energy Complex: falling (avg -6.07%)</w:t>
      </w:r>
    </w:p>
    <w:p w14:paraId="7D0551EE" w14:textId="77777777" w:rsidR="00B00C59" w:rsidRDefault="00000000">
      <w:r>
        <w:t>Bottom line: With roughly 73% of names positive, breadth remains constructive and the tape is signaling a pro-risk bias beneath the surface, led by strong relative performance in Industrials, Materials, Energy, Consumer Staples, and Real Estate, while Information Technology, Consumer Discretionary, Health Care, Utilities, and Financials trade firm and only Communication Services stands out as a clear laggard. Macro conditions reflect slowing growth and pressured earnings against still-sticky inflation, and that mix is echoed in the macro levers, where a bid in Gold alongside a firm USD and higher yields, flat bonds, and a falling energy complex suggest investors are positioning for decelerating real activity with persistent price pressure rather than a clean disinflationary boom, which aligns with the market’s preference this quarter for higher-quality cyclicals and defensives over more speculative growth.</w:t>
      </w:r>
    </w:p>
    <w:sectPr w:rsidR="00B00C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7403622">
    <w:abstractNumId w:val="8"/>
  </w:num>
  <w:num w:numId="2" w16cid:durableId="1687714480">
    <w:abstractNumId w:val="6"/>
  </w:num>
  <w:num w:numId="3" w16cid:durableId="1870219371">
    <w:abstractNumId w:val="5"/>
  </w:num>
  <w:num w:numId="4" w16cid:durableId="773403297">
    <w:abstractNumId w:val="4"/>
  </w:num>
  <w:num w:numId="5" w16cid:durableId="1922176617">
    <w:abstractNumId w:val="7"/>
  </w:num>
  <w:num w:numId="6" w16cid:durableId="148403528">
    <w:abstractNumId w:val="3"/>
  </w:num>
  <w:num w:numId="7" w16cid:durableId="354768949">
    <w:abstractNumId w:val="2"/>
  </w:num>
  <w:num w:numId="8" w16cid:durableId="1616134434">
    <w:abstractNumId w:val="1"/>
  </w:num>
  <w:num w:numId="9" w16cid:durableId="811143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27809"/>
    <w:rsid w:val="009B25AE"/>
    <w:rsid w:val="00AA1D8D"/>
    <w:rsid w:val="00B00C5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C709B"/>
  <w14:defaultImageDpi w14:val="300"/>
  <w15:docId w15:val="{26C5E528-6E58-4BEB-AF16-BE0D41013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239</Words>
  <Characters>1367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2026-01-17T23:20:00Z</dcterms:created>
  <dcterms:modified xsi:type="dcterms:W3CDTF">2026-01-17T23:20:00Z</dcterms:modified>
  <cp:category/>
</cp:coreProperties>
</file>