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DF42" w14:textId="77777777" w:rsidR="00AE15AE" w:rsidRDefault="00000000">
      <w:r>
        <w:t>Weekly Market Read: January 16, 2026</w:t>
      </w:r>
    </w:p>
    <w:p w14:paraId="203A96ED" w14:textId="77777777" w:rsidR="00AE15AE" w:rsidRDefault="00000000">
      <w:r>
        <w:t>The market is saying (all numbers are WTD % returns):</w:t>
      </w:r>
    </w:p>
    <w:p w14:paraId="02BCC743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Breadth: 57.3% of names are positive.</w:t>
      </w:r>
    </w:p>
    <w:p w14:paraId="1F34FB8E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Information Technology: soft (avg -0.16%)</w:t>
      </w:r>
    </w:p>
    <w:p w14:paraId="4EA3427D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Industrials: leading (avg +2.24%)</w:t>
      </w:r>
    </w:p>
    <w:p w14:paraId="683AA653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Consumer Staples: leading (avg +3.27%)</w:t>
      </w:r>
    </w:p>
    <w:p w14:paraId="2D0BB417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Consumer Discretionary: lagging (avg -1.24%)</w:t>
      </w:r>
    </w:p>
    <w:p w14:paraId="3508AC73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Financials: lagging (avg -1.38%)</w:t>
      </w:r>
    </w:p>
    <w:p w14:paraId="28CC864E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Utilities: leading (avg +2.80%)</w:t>
      </w:r>
    </w:p>
    <w:p w14:paraId="49491F99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Real Estate: leading (avg +4.10%)</w:t>
      </w:r>
    </w:p>
    <w:p w14:paraId="154E1271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Materials: leading (avg +1.11%)</w:t>
      </w:r>
    </w:p>
    <w:p w14:paraId="6F263511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Energy: leading (avg +1.71%)</w:t>
      </w:r>
    </w:p>
    <w:p w14:paraId="27CEB9F9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Health Care: lagging (avg -0.48%)</w:t>
      </w:r>
    </w:p>
    <w:p w14:paraId="40C15568" w14:textId="77777777" w:rsidR="00AE15AE" w:rsidRDefault="00000000" w:rsidP="00804EAC">
      <w:pPr>
        <w:pStyle w:val="ListBullet"/>
        <w:numPr>
          <w:ilvl w:val="0"/>
          <w:numId w:val="10"/>
        </w:numPr>
      </w:pPr>
      <w:r>
        <w:t>Communication Services: lagging (avg -2.58%)</w:t>
      </w:r>
    </w:p>
    <w:p w14:paraId="2A68E1FB" w14:textId="77777777" w:rsidR="00AE15AE" w:rsidRDefault="00000000">
      <w:r>
        <w:t>Macro levers (WTD % returns):</w:t>
      </w:r>
    </w:p>
    <w:p w14:paraId="14B21D53" w14:textId="77777777" w:rsidR="00AE15AE" w:rsidRDefault="00000000" w:rsidP="00804EAC">
      <w:pPr>
        <w:pStyle w:val="ListBullet"/>
        <w:numPr>
          <w:ilvl w:val="0"/>
          <w:numId w:val="11"/>
        </w:numPr>
      </w:pPr>
      <w:r>
        <w:t>Gold: leading (avg +1.65%)</w:t>
      </w:r>
    </w:p>
    <w:p w14:paraId="101BA30A" w14:textId="77777777" w:rsidR="00AE15AE" w:rsidRDefault="00000000" w:rsidP="00804EAC">
      <w:pPr>
        <w:pStyle w:val="ListBullet"/>
        <w:numPr>
          <w:ilvl w:val="0"/>
          <w:numId w:val="11"/>
        </w:numPr>
      </w:pPr>
      <w:r>
        <w:t>USD: firm (avg +0.25%)</w:t>
      </w:r>
    </w:p>
    <w:p w14:paraId="0F4A7EB8" w14:textId="77777777" w:rsidR="00AE15AE" w:rsidRDefault="00000000" w:rsidP="00804EAC">
      <w:pPr>
        <w:pStyle w:val="ListBullet"/>
        <w:numPr>
          <w:ilvl w:val="0"/>
          <w:numId w:val="11"/>
        </w:numPr>
      </w:pPr>
      <w:r>
        <w:t>Yields: leading (avg +1.26%)</w:t>
      </w:r>
    </w:p>
    <w:p w14:paraId="37EC0248" w14:textId="77777777" w:rsidR="00AE15AE" w:rsidRDefault="00000000" w:rsidP="00804EAC">
      <w:pPr>
        <w:pStyle w:val="ListBullet"/>
        <w:numPr>
          <w:ilvl w:val="0"/>
          <w:numId w:val="11"/>
        </w:numPr>
      </w:pPr>
      <w:r>
        <w:t>Bonds: flat (avg -0.10%)</w:t>
      </w:r>
    </w:p>
    <w:p w14:paraId="742048CA" w14:textId="77777777" w:rsidR="00AE15AE" w:rsidRDefault="00000000" w:rsidP="00804EAC">
      <w:pPr>
        <w:pStyle w:val="ListBullet"/>
        <w:numPr>
          <w:ilvl w:val="0"/>
          <w:numId w:val="11"/>
        </w:numPr>
      </w:pPr>
      <w:r>
        <w:t>Energy complex: firm (avg +0.28%)</w:t>
      </w:r>
    </w:p>
    <w:p w14:paraId="1D0D8E1C" w14:textId="77777777" w:rsidR="00AE15AE" w:rsidRDefault="00000000">
      <w:r>
        <w:t>Bottom line: With a little over half the tape green, breadth is constructive but not euphoric, and the leadership mix is defensive and late-cycle—Staples, Utilities, REITs, Industrials, Materials, and Energy all posting solid gains—while classic pro-cyclical and growth-oriented groups like Tech, Discretionary, Financials, Health Care, and Communication Services lag, signaling a market that is rotating toward safety, cash-flow quality, and real-asset exposure. Macro conditions reflect slowing growth and still-elevated-but-easing inflation, and that’s consistent with this week’s factor and sector performance as firm yields, a bid in gold, a resilient USD, and a steady energy complex point to investors demanding higher risk premia for duration and cyclicality while hedging policy and inflation uncertainty rather than embracing a clean “disinflation plus re-acceleration” soft-landing narrative.</w:t>
      </w:r>
    </w:p>
    <w:sectPr w:rsidR="00AE15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7545A6"/>
    <w:multiLevelType w:val="hybridMultilevel"/>
    <w:tmpl w:val="53D0D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553A57"/>
    <w:multiLevelType w:val="hybridMultilevel"/>
    <w:tmpl w:val="DAC67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137617">
    <w:abstractNumId w:val="8"/>
  </w:num>
  <w:num w:numId="2" w16cid:durableId="782267422">
    <w:abstractNumId w:val="6"/>
  </w:num>
  <w:num w:numId="3" w16cid:durableId="112332437">
    <w:abstractNumId w:val="5"/>
  </w:num>
  <w:num w:numId="4" w16cid:durableId="698235841">
    <w:abstractNumId w:val="4"/>
  </w:num>
  <w:num w:numId="5" w16cid:durableId="1928072414">
    <w:abstractNumId w:val="7"/>
  </w:num>
  <w:num w:numId="6" w16cid:durableId="674305982">
    <w:abstractNumId w:val="3"/>
  </w:num>
  <w:num w:numId="7" w16cid:durableId="565452763">
    <w:abstractNumId w:val="2"/>
  </w:num>
  <w:num w:numId="8" w16cid:durableId="1242594328">
    <w:abstractNumId w:val="1"/>
  </w:num>
  <w:num w:numId="9" w16cid:durableId="1124352921">
    <w:abstractNumId w:val="0"/>
  </w:num>
  <w:num w:numId="10" w16cid:durableId="2030251939">
    <w:abstractNumId w:val="10"/>
  </w:num>
  <w:num w:numId="11" w16cid:durableId="18183743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4E32"/>
    <w:rsid w:val="0029639D"/>
    <w:rsid w:val="00326F90"/>
    <w:rsid w:val="00804EAC"/>
    <w:rsid w:val="00AA1D8D"/>
    <w:rsid w:val="00AE15AE"/>
    <w:rsid w:val="00B47730"/>
    <w:rsid w:val="00C23A8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86D1CE"/>
  <w14:defaultImageDpi w14:val="300"/>
  <w15:docId w15:val="{B6D69474-B1EB-486D-95E7-2D9475115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1397</Characters>
  <Application>Microsoft Office Word</Application>
  <DocSecurity>0</DocSecurity>
  <Lines>31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2026-01-17T23:19:00Z</dcterms:created>
  <dcterms:modified xsi:type="dcterms:W3CDTF">2026-01-17T23:19:00Z</dcterms:modified>
  <cp:category/>
</cp:coreProperties>
</file>