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25A93CC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E518F">
        <w:t>Macro posture shows growth is decelerating and earnings expectations remain under pressure even as inflation moderates from the peak but stays above pre-COVID norms, a mix reflected in firmer gold (+6.30%), a stronger dollar (+1.11%), higher yields (+1.49%), modestly positive bonds (+0.35%), and a softer energy complex (-6.07%) that, taken together, argue for staying selective within cyclicals while respecting the bid for quality, cash flow, and balance-sheet strength.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517"/>
    <w:rsid w:val="00041D62"/>
    <w:rsid w:val="00051C3B"/>
    <w:rsid w:val="0005522A"/>
    <w:rsid w:val="00056BB7"/>
    <w:rsid w:val="00067C93"/>
    <w:rsid w:val="00071764"/>
    <w:rsid w:val="00091CF0"/>
    <w:rsid w:val="000B0E41"/>
    <w:rsid w:val="000B378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2C1A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4563E"/>
    <w:rsid w:val="00B67369"/>
    <w:rsid w:val="00BA3171"/>
    <w:rsid w:val="00BD2BD8"/>
    <w:rsid w:val="00BD50C9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E518F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70</Words>
  <Characters>417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58</cp:revision>
  <dcterms:created xsi:type="dcterms:W3CDTF">2025-10-18T00:26:00Z</dcterms:created>
  <dcterms:modified xsi:type="dcterms:W3CDTF">2026-01-17T23:20:00Z</dcterms:modified>
</cp:coreProperties>
</file>