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292A0D1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A2055D">
        <w:t>Macro conditions reflect slowing growth and still-elevated-but-easing inflation, and that’s consistent with this week’s factor and sector performance as firm yields, a bid in gold, a resilient USD, and a steady energy complex point to investors demanding higher risk premia for duration and cyclicality while hedging policy and inflation uncertainty rather than embracing a clean “disinflation plus re-acceleration” soft-landing narrative.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055D"/>
    <w:rsid w:val="00A24917"/>
    <w:rsid w:val="00A66203"/>
    <w:rsid w:val="00AB5430"/>
    <w:rsid w:val="00AE05E9"/>
    <w:rsid w:val="00AF286D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23A8C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62</Words>
  <Characters>391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59</cp:revision>
  <dcterms:created xsi:type="dcterms:W3CDTF">2025-10-18T00:25:00Z</dcterms:created>
  <dcterms:modified xsi:type="dcterms:W3CDTF">2026-01-17T23:19:00Z</dcterms:modified>
</cp:coreProperties>
</file>