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days, rate sensitivity is broad but uneven, with Utilities showing the most concentrated negative linkage to yields, while the S&amp;P 500, Nasdaq 100, Russell 2000, and Financials all lean moderately negative. The 15-day window points to an especially strong recent drag from higher yields on Utilities, while the 90-day readings near zero for most equity indexes suggest that this influence has not been consistently persistent over the quarter.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