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On a 30-day basis, USD moves are felt most clearly in gold and oil, with gold showing the single strongest and most consistent inverse linkage and thus concentrating a lot of the USD sensitivity in this set. Equities (SPX) lean mildly inverse to the dollar, while broad commodities and Bitcoin sit in a contained range with only weak day-to-day connection to USD swings. Over 15 days, the dollar–gold and dollar–oil relationships have intensified, while the 90-day numbers point to a still negative but more moderate backdrop across most assets.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