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76126" w14:textId="77777777" w:rsidR="0031422E" w:rsidRDefault="00547C0F" w:rsidP="0031422E">
      <w:r w:rsidRPr="00C73559">
        <w:rPr>
          <w:b/>
          <w:bCs/>
        </w:rPr>
        <w:t>Bottom line:</w:t>
      </w:r>
      <w:r w:rsidRPr="00C73559">
        <w:t xml:space="preserve"> </w:t>
      </w:r>
      <w:r w:rsidR="0031422E">
        <w:t>Macro conditions reflect a tape that is leaning into higher nominal yields and a stronger energy complex while bonds and the dollar fade, consistent with markets repricing a mix of slowing but still positive growth and inflation that is easing from the peak yet remains above pre-COVID norms. Taken together, the week’s action points to investors rotating toward higher-beta, earnings-levered areas and away from duration and defensives, effectively expressing a view that the near-term growth and inflation backdrop is less about imminent recession risk and more about navigating a late-cycle slowdown with sticky but moderating price pressures.</w:t>
      </w:r>
    </w:p>
    <w:p w14:paraId="5A40CDC3" w14:textId="14A6F381" w:rsidR="00136E36" w:rsidRPr="009D5CC7" w:rsidRDefault="00136E36" w:rsidP="00EB2D7D"/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A5E2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99</Words>
  <Characters>561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28</cp:revision>
  <dcterms:created xsi:type="dcterms:W3CDTF">2025-10-18T00:25:00Z</dcterms:created>
  <dcterms:modified xsi:type="dcterms:W3CDTF">2025-12-06T01:59:00Z</dcterms:modified>
</cp:coreProperties>
</file>