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8DBDDAD" w:rsidR="00136E36" w:rsidRPr="001103C1" w:rsidRDefault="00547C0F" w:rsidP="00EB2D7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327FE8" w:rsidRPr="00E40D98">
        <w:rPr>
          <w:b/>
          <w:bCs/>
        </w:rPr>
        <w:t>The macro profile — gold bid, USD firm, stable yields, bonds soft, and energy firm — signals a stagflationary tilt, with growth slowing but inflation pressures sticky. The market tone favors hard assets, cash flow stability, and late-cycle defensives, while high-duration growth sectors remain under sustained pressure.</w:t>
      </w:r>
    </w:p>
    <w:sectPr w:rsidR="00136E36" w:rsidRPr="001103C1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67E5D"/>
    <w:rsid w:val="00D737A3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FE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287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24</cp:revision>
  <dcterms:created xsi:type="dcterms:W3CDTF">2025-10-18T00:26:00Z</dcterms:created>
  <dcterms:modified xsi:type="dcterms:W3CDTF">2025-11-21T01:08:00Z</dcterms:modified>
</cp:coreProperties>
</file>