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962BD34" w:rsidR="00136E36" w:rsidRPr="007F1B57" w:rsidRDefault="00547C0F" w:rsidP="00EB2D7D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7F1B57" w:rsidRPr="00C1449E">
        <w:rPr>
          <w:b/>
          <w:bCs/>
        </w:rPr>
        <w:t>Macro posture — USD firmer, yields easing, gold soft, bonds flat, and the energy complex down — points to slowing growth expectations with cooling inflation pressure and tighter financial conditions, an environment that favors capital preservation, defensives, and lower-beta exposure until participation and price action begin to stabilize.</w:t>
      </w:r>
    </w:p>
    <w:sectPr w:rsidR="00136E36" w:rsidRPr="007F1B5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C488F"/>
    <w:rsid w:val="000E0513"/>
    <w:rsid w:val="000E0FB2"/>
    <w:rsid w:val="001114DC"/>
    <w:rsid w:val="00132CE2"/>
    <w:rsid w:val="00134680"/>
    <w:rsid w:val="00136E36"/>
    <w:rsid w:val="001562A5"/>
    <w:rsid w:val="00165186"/>
    <w:rsid w:val="001670B4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20A80"/>
    <w:rsid w:val="00341859"/>
    <w:rsid w:val="003A41B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B57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49</Words>
  <Characters>306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25</cp:revision>
  <dcterms:created xsi:type="dcterms:W3CDTF">2025-10-18T00:25:00Z</dcterms:created>
  <dcterms:modified xsi:type="dcterms:W3CDTF">2025-11-21T01:12:00Z</dcterms:modified>
</cp:coreProperties>
</file>