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past 30 days, equity index returns have been moderately negatively linked to 10-year yields, with tech-heavy Nasdaq and the S&amp;P 500 showing the most pronounced rate sensitivity among the major indices and small caps less so. Utilities and financials both show relatively mild 30-day correlations, suggesting more limited and less consistent day-to-day rate impact on those sectors compared with broad equities. Recent 15-day readings lean a bit more negative for the large cap indices, while the near-zero 90-day correlations for most equities indicate that this sensitivity has been more of a shorter-term pattern than a persistent 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