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34EEFFB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FD786B" w:rsidRPr="00FD786B">
        <w:t>Overall, today’s mixed breadth and sector skew are consistent with a market rotating toward quality growth and balance-sheet strength while respecting the risk that slower growth and still-elevated inflation leave policy tight and the cost of capital high.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94843"/>
    <w:rsid w:val="002A79E3"/>
    <w:rsid w:val="002D714E"/>
    <w:rsid w:val="002F1C3E"/>
    <w:rsid w:val="002F64F0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C6364"/>
    <w:rsid w:val="005D35DB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A3171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5F2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38</Words>
  <Characters>232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33</cp:revision>
  <dcterms:created xsi:type="dcterms:W3CDTF">2025-10-14T15:51:00Z</dcterms:created>
  <dcterms:modified xsi:type="dcterms:W3CDTF">2025-12-06T01:30:00Z</dcterms:modified>
</cp:coreProperties>
</file>