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5294E" w14:textId="77777777" w:rsidR="000D66EF" w:rsidRDefault="00000000">
      <w:r>
        <w:t>Weekly Market Read: December 15, 2025</w:t>
      </w:r>
    </w:p>
    <w:p w14:paraId="572FF5D0" w14:textId="77777777" w:rsidR="000D66EF" w:rsidRDefault="00000000">
      <w:r>
        <w:t>The market is saying (all numbers are WTD % returns):</w:t>
      </w:r>
    </w:p>
    <w:p w14:paraId="65F600EE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Breadth: 53.4% of names are positive.</w:t>
      </w:r>
    </w:p>
    <w:p w14:paraId="298E9888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Information Technology: lagging (avg -0.72%)</w:t>
      </w:r>
    </w:p>
    <w:p w14:paraId="5E7E6CBA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Industrials: flat (avg +0.05%)</w:t>
      </w:r>
    </w:p>
    <w:p w14:paraId="331DF4D0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Consumer Staples: flat (avg +0.10%)</w:t>
      </w:r>
    </w:p>
    <w:p w14:paraId="1F458FDA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Consumer Discretionary: leading (avg +0.73%)</w:t>
      </w:r>
    </w:p>
    <w:p w14:paraId="4AAC7231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Financials: flat (avg -0.06%)</w:t>
      </w:r>
    </w:p>
    <w:p w14:paraId="54A58D07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Utilities: leading (avg +0.88%)</w:t>
      </w:r>
    </w:p>
    <w:p w14:paraId="6E202D77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Real Estate: firm (avg +0.24%)</w:t>
      </w:r>
    </w:p>
    <w:p w14:paraId="637D2BF5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Materials: soft (avg -0.37%)</w:t>
      </w:r>
    </w:p>
    <w:p w14:paraId="540C4E6A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Energy: lagging (avg -0.96%)</w:t>
      </w:r>
    </w:p>
    <w:p w14:paraId="77290E5F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Health Care: leading (avg +0.63%)</w:t>
      </w:r>
    </w:p>
    <w:p w14:paraId="7D1958DB" w14:textId="77777777" w:rsidR="000D66EF" w:rsidRDefault="00000000" w:rsidP="00D86F38">
      <w:pPr>
        <w:pStyle w:val="ListBullet"/>
        <w:numPr>
          <w:ilvl w:val="0"/>
          <w:numId w:val="10"/>
        </w:numPr>
      </w:pPr>
      <w:r>
        <w:t>Communication Services: flat (avg +0.02%)</w:t>
      </w:r>
    </w:p>
    <w:p w14:paraId="5CE16489" w14:textId="77777777" w:rsidR="000D66EF" w:rsidRDefault="00000000">
      <w:r>
        <w:t>Macro levers (WTD % returns):</w:t>
      </w:r>
    </w:p>
    <w:p w14:paraId="4DDACB90" w14:textId="77777777" w:rsidR="000D66EF" w:rsidRDefault="00000000" w:rsidP="00D86F38">
      <w:pPr>
        <w:pStyle w:val="ListBullet"/>
        <w:numPr>
          <w:ilvl w:val="0"/>
          <w:numId w:val="11"/>
        </w:numPr>
      </w:pPr>
      <w:r>
        <w:t>Gold: firm (avg +0.09%)</w:t>
      </w:r>
    </w:p>
    <w:p w14:paraId="5DC02D73" w14:textId="77777777" w:rsidR="000D66EF" w:rsidRDefault="00000000" w:rsidP="00D86F38">
      <w:pPr>
        <w:pStyle w:val="ListBullet"/>
        <w:numPr>
          <w:ilvl w:val="0"/>
          <w:numId w:val="11"/>
        </w:numPr>
      </w:pPr>
      <w:r>
        <w:t>USD: flat (avg -0.07%)</w:t>
      </w:r>
    </w:p>
    <w:p w14:paraId="309C8253" w14:textId="77777777" w:rsidR="000D66EF" w:rsidRDefault="00000000" w:rsidP="00D86F38">
      <w:pPr>
        <w:pStyle w:val="ListBullet"/>
        <w:numPr>
          <w:ilvl w:val="0"/>
          <w:numId w:val="11"/>
        </w:numPr>
      </w:pPr>
      <w:r>
        <w:t>Yields: lagging (avg -0.30%)</w:t>
      </w:r>
    </w:p>
    <w:p w14:paraId="7F40730E" w14:textId="77777777" w:rsidR="000D66EF" w:rsidRDefault="00000000" w:rsidP="00D86F38">
      <w:pPr>
        <w:pStyle w:val="ListBullet"/>
        <w:numPr>
          <w:ilvl w:val="0"/>
          <w:numId w:val="11"/>
        </w:numPr>
      </w:pPr>
      <w:r>
        <w:t>Bonds: firm (avg +0.04%)</w:t>
      </w:r>
    </w:p>
    <w:p w14:paraId="668AD62C" w14:textId="77777777" w:rsidR="000D66EF" w:rsidRDefault="00000000" w:rsidP="00D86F38">
      <w:pPr>
        <w:pStyle w:val="ListBullet"/>
        <w:numPr>
          <w:ilvl w:val="0"/>
          <w:numId w:val="11"/>
        </w:numPr>
      </w:pPr>
      <w:r>
        <w:t>Energy complex: lagging (avg -1.73%)</w:t>
      </w:r>
    </w:p>
    <w:p w14:paraId="028971BD" w14:textId="77777777" w:rsidR="000D66EF" w:rsidRDefault="00000000">
      <w:r>
        <w:t xml:space="preserve">Bottom line: With just over half of stocks positive, breadth is constructive but not emphatic, and leadership has rotated defensively toward Utilities (+0.88%), Health Care (+0.63%), and Consumer Discretionary (+0.73%), while prior high-beta engines like Information Technology (-0.72%) and Energy (-0.96%) lag and cyclicals such as Industrials (+0.05%) and Financials (-0.06%) sit near flat, leaving Real Estate (+0.24%) modestly supported by softer yields and Communication Services (+0.02%) and Consumer Staples (+0.10%) essentially treading water. </w:t>
      </w:r>
      <w:bookmarkStart w:id="0" w:name="_Hlk216721553"/>
      <w:r>
        <w:t>Macro conditions reflect an environment where growth is slowing and earnings revisions remain under pressure while inflation, though easing from its peak, is still running above pre-COVID norms, a mix echoed in the tape by firm bonds (+0.04%), weaker yields (-0.30%), a steady USD (-0.07%), stable gold (+0.09%), and a notably soft energy complex (-1.73%) that together point to rising caution on the growth side without a full unwind of inflation risk.</w:t>
      </w:r>
      <w:bookmarkEnd w:id="0"/>
    </w:p>
    <w:sectPr w:rsidR="000D66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554529"/>
    <w:multiLevelType w:val="hybridMultilevel"/>
    <w:tmpl w:val="D046C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3E37E2"/>
    <w:multiLevelType w:val="hybridMultilevel"/>
    <w:tmpl w:val="23909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109710">
    <w:abstractNumId w:val="8"/>
  </w:num>
  <w:num w:numId="2" w16cid:durableId="1053892695">
    <w:abstractNumId w:val="6"/>
  </w:num>
  <w:num w:numId="3" w16cid:durableId="288098287">
    <w:abstractNumId w:val="5"/>
  </w:num>
  <w:num w:numId="4" w16cid:durableId="1937981241">
    <w:abstractNumId w:val="4"/>
  </w:num>
  <w:num w:numId="5" w16cid:durableId="1218979997">
    <w:abstractNumId w:val="7"/>
  </w:num>
  <w:num w:numId="6" w16cid:durableId="1024096938">
    <w:abstractNumId w:val="3"/>
  </w:num>
  <w:num w:numId="7" w16cid:durableId="1874728782">
    <w:abstractNumId w:val="2"/>
  </w:num>
  <w:num w:numId="8" w16cid:durableId="1608272332">
    <w:abstractNumId w:val="1"/>
  </w:num>
  <w:num w:numId="9" w16cid:durableId="269093124">
    <w:abstractNumId w:val="0"/>
  </w:num>
  <w:num w:numId="10" w16cid:durableId="1127088339">
    <w:abstractNumId w:val="9"/>
  </w:num>
  <w:num w:numId="11" w16cid:durableId="10349648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66EF"/>
    <w:rsid w:val="000E52AC"/>
    <w:rsid w:val="0015074B"/>
    <w:rsid w:val="0029639D"/>
    <w:rsid w:val="00326F90"/>
    <w:rsid w:val="006F6795"/>
    <w:rsid w:val="00881D91"/>
    <w:rsid w:val="00AA1D8D"/>
    <w:rsid w:val="00B47730"/>
    <w:rsid w:val="00CB0664"/>
    <w:rsid w:val="00D86F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2DB332"/>
  <w14:defaultImageDpi w14:val="300"/>
  <w15:docId w15:val="{CA0CE2B4-B499-4A97-8506-7F3391118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1447</Characters>
  <Application>Microsoft Office Word</Application>
  <DocSecurity>0</DocSecurity>
  <Lines>32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2025-12-16T01:05:00Z</dcterms:created>
  <dcterms:modified xsi:type="dcterms:W3CDTF">2025-12-16T01:05:00Z</dcterms:modified>
  <cp:category/>
</cp:coreProperties>
</file>