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0244CF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C13A2A">
        <w:t>Macro conditions reflect slowing growth and still-elevated-but-easing inflation expectations, which is echoed in rising yields, soft bonds and USD, and a firm Gold bid alongside pressure across the broader energy complex, collectively suggesting the tape is leaning into late-cycle dynamics where nominal support and policy uncertainty keep rate volatility high even as investors selectively embrace cyclicals and high-beta sectors.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61</Words>
  <Characters>385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34</cp:revision>
  <dcterms:created xsi:type="dcterms:W3CDTF">2025-10-18T00:26:00Z</dcterms:created>
  <dcterms:modified xsi:type="dcterms:W3CDTF">2025-12-16T01:06:00Z</dcterms:modified>
</cp:coreProperties>
</file>