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4E692" w14:textId="77777777" w:rsidR="000F7C98" w:rsidRPr="00225043" w:rsidRDefault="00547C0F" w:rsidP="000F7C98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0F7C98" w:rsidRPr="00225043">
        <w:rPr>
          <w:b/>
          <w:bCs/>
        </w:rPr>
        <w:t xml:space="preserve">The macro tape — gold bid, USD firm, yields drifting lower, bonds flat, and energy mixed — reflects slowing growth with moderating inflation pressures, consistent with a disinflationary slowdown. Markets continue to favor defensives, quality, and duration over cyclicals and leverage-sensitive assets as investors brace for softer economic momentum heading into November. </w:t>
      </w:r>
    </w:p>
    <w:p w14:paraId="5A40CDC3" w14:textId="7F9E3BD6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66203"/>
    <w:rsid w:val="00AE05E9"/>
    <w:rsid w:val="00AF286D"/>
    <w:rsid w:val="00BA3171"/>
    <w:rsid w:val="00C20EB0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C9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15</cp:revision>
  <dcterms:created xsi:type="dcterms:W3CDTF">2025-10-18T00:26:00Z</dcterms:created>
  <dcterms:modified xsi:type="dcterms:W3CDTF">2025-11-01T00:24:00Z</dcterms:modified>
</cp:coreProperties>
</file>