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E2A5984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06145">
        <w:t>Macro conditions reflect a market that is pricing slowing growth and still-elevated but decelerating inflation, with surging Gold (+5.30%), a weaker USD (-0.53%), higher yields (+0.41%), flat bonds (-0.17%), and a ripping energy complex (+17.20%) all consistent with investors seeking real-asset and defensive exposure rather than leaning into a durable re-acceleration in cyclicals or earnings.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3F95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D0F6B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055D"/>
    <w:rsid w:val="00A24917"/>
    <w:rsid w:val="00A66203"/>
    <w:rsid w:val="00AB5430"/>
    <w:rsid w:val="00AE05E9"/>
    <w:rsid w:val="00AF286D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23A8C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06145"/>
    <w:rsid w:val="00F90475"/>
    <w:rsid w:val="00FB3175"/>
    <w:rsid w:val="00FE369B"/>
    <w:rsid w:val="00FE5CF7"/>
    <w:rsid w:val="00FF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61</cp:revision>
  <dcterms:created xsi:type="dcterms:W3CDTF">2025-10-18T00:25:00Z</dcterms:created>
  <dcterms:modified xsi:type="dcterms:W3CDTF">2026-01-22T01:04:00Z</dcterms:modified>
</cp:coreProperties>
</file>