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days, broad U. S. equities show a moderate negative relationship to 10-year yields, with sensitivity most pronounced in the Nasdaq and S&amp;P and somewhat milder in small caps. This suggests recent equity moves have generally benefited when yields fall, especially in growth-heavy benchmarks.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