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D6AF0" w14:textId="77777777" w:rsidR="005E146F" w:rsidRPr="00AD4FE5" w:rsidRDefault="00547C0F" w:rsidP="005E146F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5E146F" w:rsidRPr="00AD4FE5">
        <w:rPr>
          <w:b/>
          <w:bCs/>
        </w:rPr>
        <w:t>Macro posture — USD firmer, yields easing, bonds firmer, gold soft, and the energy complex down — points to slowing growth with cooling inflation pressure and tighter financial conditions, an environment that continues to favor defensive positioning, quality balance sheets, and lower-beta exposure over high-beta cyclicals and speculative growth.</w:t>
      </w:r>
    </w:p>
    <w:p w14:paraId="5A40CDC3" w14:textId="47BC683B" w:rsidR="00136E36" w:rsidRPr="007F1B57" w:rsidRDefault="00136E36" w:rsidP="00EB2D7D">
      <w:pPr>
        <w:rPr>
          <w:b/>
          <w:bCs/>
        </w:rPr>
      </w:pPr>
    </w:p>
    <w:sectPr w:rsidR="00136E36" w:rsidRPr="007F1B5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C488F"/>
    <w:rsid w:val="000E0513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20A80"/>
    <w:rsid w:val="00341859"/>
    <w:rsid w:val="003A41B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46F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51</Words>
  <Characters>311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26</cp:revision>
  <dcterms:created xsi:type="dcterms:W3CDTF">2025-10-18T00:25:00Z</dcterms:created>
  <dcterms:modified xsi:type="dcterms:W3CDTF">2025-11-22T01:10:00Z</dcterms:modified>
</cp:coreProperties>
</file>