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0E087" w14:textId="77777777" w:rsidR="009556FF" w:rsidRDefault="00000000">
      <w:r>
        <w:t>Market Read: December 23, 2025</w:t>
      </w:r>
    </w:p>
    <w:p w14:paraId="10215036" w14:textId="77777777" w:rsidR="009556FF" w:rsidRDefault="00000000">
      <w:r>
        <w:t>The market is saying:</w:t>
      </w:r>
    </w:p>
    <w:p w14:paraId="690EEC40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Breadth: 47.9% of names are positive.</w:t>
      </w:r>
    </w:p>
    <w:p w14:paraId="7C8A3BC6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Information Technology: soft (avg -0.27%)</w:t>
      </w:r>
    </w:p>
    <w:p w14:paraId="5E2403AE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Industrials: soft (avg -0.19%)</w:t>
      </w:r>
    </w:p>
    <w:p w14:paraId="26AE01A7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Consumer Staples: lagging (avg -0.94%)</w:t>
      </w:r>
    </w:p>
    <w:p w14:paraId="7C823C88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Consumer Discretionary: lagging (avg -0.76%)</w:t>
      </w:r>
    </w:p>
    <w:p w14:paraId="2B591795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Financials: soft (avg -0.15%)</w:t>
      </w:r>
    </w:p>
    <w:p w14:paraId="13EA7172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Utilities: firm (avg +0.25%)</w:t>
      </w:r>
    </w:p>
    <w:p w14:paraId="240ECC60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Real Estate: soft (avg -0.29%)</w:t>
      </w:r>
    </w:p>
    <w:p w14:paraId="66C34DEC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Materials: flat (avg -0.06%)</w:t>
      </w:r>
    </w:p>
    <w:p w14:paraId="6D9148C6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Energy: firm (avg +0.50%)</w:t>
      </w:r>
    </w:p>
    <w:p w14:paraId="79A1BF4C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Health Care: soft (avg -0.38%)</w:t>
      </w:r>
    </w:p>
    <w:p w14:paraId="4D34D20D" w14:textId="77777777" w:rsidR="009556FF" w:rsidRDefault="00000000" w:rsidP="000344EE">
      <w:pPr>
        <w:pStyle w:val="ListBullet"/>
        <w:numPr>
          <w:ilvl w:val="0"/>
          <w:numId w:val="10"/>
        </w:numPr>
      </w:pPr>
      <w:r>
        <w:t>Communication Services: firm (avg +0.32%)</w:t>
      </w:r>
    </w:p>
    <w:p w14:paraId="6D8121A7" w14:textId="77777777" w:rsidR="009556FF" w:rsidRDefault="00000000">
      <w:r>
        <w:t>Macro levers:</w:t>
      </w:r>
    </w:p>
    <w:p w14:paraId="0DF505F9" w14:textId="77777777" w:rsidR="009556FF" w:rsidRDefault="00000000" w:rsidP="000344EE">
      <w:pPr>
        <w:pStyle w:val="ListBullet"/>
        <w:numPr>
          <w:ilvl w:val="0"/>
          <w:numId w:val="11"/>
        </w:numPr>
      </w:pPr>
      <w:r>
        <w:t>Gold: leading (avg +1.33%)</w:t>
      </w:r>
    </w:p>
    <w:p w14:paraId="0BF2D024" w14:textId="77777777" w:rsidR="009556FF" w:rsidRDefault="00000000" w:rsidP="000344EE">
      <w:pPr>
        <w:pStyle w:val="ListBullet"/>
        <w:numPr>
          <w:ilvl w:val="0"/>
          <w:numId w:val="11"/>
        </w:numPr>
      </w:pPr>
      <w:r>
        <w:t>USD: lagging (avg -0.33%)</w:t>
      </w:r>
    </w:p>
    <w:p w14:paraId="7D27AEC5" w14:textId="77777777" w:rsidR="009556FF" w:rsidRDefault="00000000" w:rsidP="000344EE">
      <w:pPr>
        <w:pStyle w:val="ListBullet"/>
        <w:numPr>
          <w:ilvl w:val="0"/>
          <w:numId w:val="11"/>
        </w:numPr>
      </w:pPr>
      <w:r>
        <w:t>Yields: firm (avg +0.07%)</w:t>
      </w:r>
    </w:p>
    <w:p w14:paraId="7668B685" w14:textId="77777777" w:rsidR="009556FF" w:rsidRDefault="00000000" w:rsidP="000344EE">
      <w:pPr>
        <w:pStyle w:val="ListBullet"/>
        <w:numPr>
          <w:ilvl w:val="0"/>
          <w:numId w:val="11"/>
        </w:numPr>
      </w:pPr>
      <w:r>
        <w:t>Bonds: firm (avg +0.07%)</w:t>
      </w:r>
    </w:p>
    <w:p w14:paraId="2A2F0F5E" w14:textId="77777777" w:rsidR="009556FF" w:rsidRDefault="00000000" w:rsidP="000344EE">
      <w:pPr>
        <w:pStyle w:val="ListBullet"/>
        <w:numPr>
          <w:ilvl w:val="0"/>
          <w:numId w:val="11"/>
        </w:numPr>
      </w:pPr>
      <w:r>
        <w:t>Energy complex: leading (avg +4.84%)</w:t>
      </w:r>
    </w:p>
    <w:p w14:paraId="7FB52A03" w14:textId="77777777" w:rsidR="009556FF" w:rsidRDefault="00000000">
      <w:r>
        <w:t xml:space="preserve">Bottom line: Breadth is mixed with just under half the tape green, and leadership skewed toward defensives and hard assets as Utilities, Energy, and Communication Services trade firm while cyclical and rate-sensitive groups like Tech, Industrials, Financials, and Real Estate stay soft and the consumer sleeves lag outright. Gold and the broader energy complex are clearly in charge alongside stable-to-firm yields and bonds, with a softer USD providing an additional tailwind to commodities, underscoring a preference for real assets and cash-flow visibility over high-beta growth. </w:t>
      </w:r>
      <w:bookmarkStart w:id="0" w:name="_Hlk217398402"/>
      <w:r>
        <w:t>Macro conditions reflect a backdrop where growth is decelerating from strong levels and earnings expectations are being marked lower while inflation pressures are easing but still elevated versus the pre-COVID regime, and today’s factor and sector setup is consistent with investors leaning into late-cycle resilience rather than chasing early-cycle cyclicals.</w:t>
      </w:r>
      <w:bookmarkEnd w:id="0"/>
    </w:p>
    <w:sectPr w:rsidR="009556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C656DA"/>
    <w:multiLevelType w:val="hybridMultilevel"/>
    <w:tmpl w:val="5CC46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935013"/>
    <w:multiLevelType w:val="hybridMultilevel"/>
    <w:tmpl w:val="51DE3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14846">
    <w:abstractNumId w:val="8"/>
  </w:num>
  <w:num w:numId="2" w16cid:durableId="593782651">
    <w:abstractNumId w:val="6"/>
  </w:num>
  <w:num w:numId="3" w16cid:durableId="1498764075">
    <w:abstractNumId w:val="5"/>
  </w:num>
  <w:num w:numId="4" w16cid:durableId="763962176">
    <w:abstractNumId w:val="4"/>
  </w:num>
  <w:num w:numId="5" w16cid:durableId="490484976">
    <w:abstractNumId w:val="7"/>
  </w:num>
  <w:num w:numId="6" w16cid:durableId="416749714">
    <w:abstractNumId w:val="3"/>
  </w:num>
  <w:num w:numId="7" w16cid:durableId="1256982516">
    <w:abstractNumId w:val="2"/>
  </w:num>
  <w:num w:numId="8" w16cid:durableId="1946644487">
    <w:abstractNumId w:val="1"/>
  </w:num>
  <w:num w:numId="9" w16cid:durableId="1773744222">
    <w:abstractNumId w:val="0"/>
  </w:num>
  <w:num w:numId="10" w16cid:durableId="2138447065">
    <w:abstractNumId w:val="10"/>
  </w:num>
  <w:num w:numId="11" w16cid:durableId="15203130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4EE"/>
    <w:rsid w:val="00034616"/>
    <w:rsid w:val="0006063C"/>
    <w:rsid w:val="0015074B"/>
    <w:rsid w:val="0029639D"/>
    <w:rsid w:val="00326F90"/>
    <w:rsid w:val="003B18C1"/>
    <w:rsid w:val="009556FF"/>
    <w:rsid w:val="00AA1D8D"/>
    <w:rsid w:val="00AD428A"/>
    <w:rsid w:val="00B47730"/>
    <w:rsid w:val="00CB0664"/>
    <w:rsid w:val="00E028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7183E6"/>
  <w14:defaultImageDpi w14:val="300"/>
  <w15:docId w15:val="{C6444AD5-16E3-4FCA-BD80-03C94ADEF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1345</Characters>
  <Application>Microsoft Office Word</Application>
  <DocSecurity>0</DocSecurity>
  <Lines>31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2025-12-23T21:06:00Z</dcterms:created>
  <dcterms:modified xsi:type="dcterms:W3CDTF">2025-12-23T21:06:00Z</dcterms:modified>
  <cp:category/>
</cp:coreProperties>
</file>