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B642F" w14:textId="77777777" w:rsidR="00233EE1" w:rsidRDefault="00000000">
      <w:r>
        <w:t>Monthly Market Read: December 23, 2025</w:t>
      </w:r>
    </w:p>
    <w:p w14:paraId="612559B7" w14:textId="77777777" w:rsidR="00233EE1" w:rsidRDefault="00000000">
      <w:r>
        <w:t>The market is saying (all numbers are MTD % returns):</w:t>
      </w:r>
    </w:p>
    <w:p w14:paraId="70EFB8D7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Breadth: 53.2% of names are positive.</w:t>
      </w:r>
    </w:p>
    <w:p w14:paraId="3792F782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Information Technology: leading (avg +2.85%)</w:t>
      </w:r>
    </w:p>
    <w:p w14:paraId="1C2E032E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Industrials: leading (avg +2.54%)</w:t>
      </w:r>
    </w:p>
    <w:p w14:paraId="2C3CC418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Consumer Staples: lagging (avg -2.07%)</w:t>
      </w:r>
    </w:p>
    <w:p w14:paraId="323B9207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Consumer Discretionary: leading (avg +2.33%)</w:t>
      </w:r>
    </w:p>
    <w:p w14:paraId="325DF10F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Financials: leading (avg +4.74%)</w:t>
      </w:r>
    </w:p>
    <w:p w14:paraId="58F5901C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Utilities: lagging (avg -5.01%)</w:t>
      </w:r>
    </w:p>
    <w:p w14:paraId="5FA65CD5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Real Estate: lagging (avg -2.39%)</w:t>
      </w:r>
    </w:p>
    <w:p w14:paraId="0C444F58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Materials: leading (avg +1.76%)</w:t>
      </w:r>
    </w:p>
    <w:p w14:paraId="33A48F07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Energy: lagging (avg -2.14%)</w:t>
      </w:r>
    </w:p>
    <w:p w14:paraId="4B0FD1E4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Health Care: lagging (avg -1.02%)</w:t>
      </w:r>
    </w:p>
    <w:p w14:paraId="38F3E335" w14:textId="77777777" w:rsidR="00233EE1" w:rsidRDefault="00000000" w:rsidP="00CB659E">
      <w:pPr>
        <w:pStyle w:val="ListBullet"/>
        <w:numPr>
          <w:ilvl w:val="0"/>
          <w:numId w:val="10"/>
        </w:numPr>
      </w:pPr>
      <w:r>
        <w:t>Communication Services: leading (avg +3.02%)</w:t>
      </w:r>
    </w:p>
    <w:p w14:paraId="2947B63D" w14:textId="77777777" w:rsidR="00233EE1" w:rsidRDefault="00000000">
      <w:r>
        <w:t>Macro levers (MTD % returns):</w:t>
      </w:r>
    </w:p>
    <w:p w14:paraId="3F2714CE" w14:textId="77777777" w:rsidR="00233EE1" w:rsidRDefault="00000000" w:rsidP="00CB659E">
      <w:pPr>
        <w:pStyle w:val="ListBullet"/>
        <w:numPr>
          <w:ilvl w:val="0"/>
          <w:numId w:val="11"/>
        </w:numPr>
      </w:pPr>
      <w:r>
        <w:t>Gold: leading (avg +6.64%)</w:t>
      </w:r>
    </w:p>
    <w:p w14:paraId="59560A16" w14:textId="77777777" w:rsidR="00233EE1" w:rsidRDefault="00000000" w:rsidP="00CB659E">
      <w:pPr>
        <w:pStyle w:val="ListBullet"/>
        <w:numPr>
          <w:ilvl w:val="0"/>
          <w:numId w:val="11"/>
        </w:numPr>
      </w:pPr>
      <w:r>
        <w:t>USD: soft (avg -4.50%)</w:t>
      </w:r>
    </w:p>
    <w:p w14:paraId="54CDD35F" w14:textId="77777777" w:rsidR="00233EE1" w:rsidRDefault="00000000" w:rsidP="00CB659E">
      <w:pPr>
        <w:pStyle w:val="ListBullet"/>
        <w:numPr>
          <w:ilvl w:val="0"/>
          <w:numId w:val="11"/>
        </w:numPr>
      </w:pPr>
      <w:r>
        <w:t>Yields: leading (avg +3.69%)</w:t>
      </w:r>
    </w:p>
    <w:p w14:paraId="7732B422" w14:textId="77777777" w:rsidR="00233EE1" w:rsidRDefault="00000000" w:rsidP="00CB659E">
      <w:pPr>
        <w:pStyle w:val="ListBullet"/>
        <w:numPr>
          <w:ilvl w:val="0"/>
          <w:numId w:val="11"/>
        </w:numPr>
      </w:pPr>
      <w:r>
        <w:t>Bonds: soft (avg -1.74%)</w:t>
      </w:r>
    </w:p>
    <w:p w14:paraId="6F356746" w14:textId="77777777" w:rsidR="00233EE1" w:rsidRDefault="00000000" w:rsidP="00CB659E">
      <w:pPr>
        <w:pStyle w:val="ListBullet"/>
        <w:numPr>
          <w:ilvl w:val="0"/>
          <w:numId w:val="11"/>
        </w:numPr>
      </w:pPr>
      <w:r>
        <w:t>Energy complex: soft (avg -6.75%)</w:t>
      </w:r>
    </w:p>
    <w:p w14:paraId="019F955E" w14:textId="77777777" w:rsidR="00233EE1" w:rsidRDefault="00000000">
      <w:r>
        <w:t xml:space="preserve">Bottom line: With just over half of stocks positive MTD, breadth is constructive but not euphoric, and leadership is skewed toward cyclicals and growth-sensitive groups—Financials, Communication Services, Tech, Industrials, Consumer Discretionary, and Materials—while classic defensives and rate-sensitives such as Utilities, Real Estate, Staples, Health Care, and Energy lag. </w:t>
      </w:r>
      <w:bookmarkStart w:id="0" w:name="_Hlk217398497"/>
      <w:r>
        <w:t>Macro conditions reflect a backdrop where growth is slowing and inflation is moderating but still elevated versus pre-COVID norms, which is consistent with gold breaking out, the dollar weakening, higher yields pressuring bonds, and a soft energy complex that together signal a market leaning into decelerating but still positive nominal growth, favoring asset-light, higher-beta sectors over duration-heavy and commodity-linked exposures.</w:t>
      </w:r>
      <w:bookmarkEnd w:id="0"/>
    </w:p>
    <w:sectPr w:rsidR="00233E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C35532"/>
    <w:multiLevelType w:val="hybridMultilevel"/>
    <w:tmpl w:val="2BB40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305B5F"/>
    <w:multiLevelType w:val="hybridMultilevel"/>
    <w:tmpl w:val="4D5C1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0445363">
    <w:abstractNumId w:val="8"/>
  </w:num>
  <w:num w:numId="2" w16cid:durableId="2002125634">
    <w:abstractNumId w:val="6"/>
  </w:num>
  <w:num w:numId="3" w16cid:durableId="203911918">
    <w:abstractNumId w:val="5"/>
  </w:num>
  <w:num w:numId="4" w16cid:durableId="1762752852">
    <w:abstractNumId w:val="4"/>
  </w:num>
  <w:num w:numId="5" w16cid:durableId="1551575460">
    <w:abstractNumId w:val="7"/>
  </w:num>
  <w:num w:numId="6" w16cid:durableId="1795712812">
    <w:abstractNumId w:val="3"/>
  </w:num>
  <w:num w:numId="7" w16cid:durableId="1476412885">
    <w:abstractNumId w:val="2"/>
  </w:num>
  <w:num w:numId="8" w16cid:durableId="1857235021">
    <w:abstractNumId w:val="1"/>
  </w:num>
  <w:num w:numId="9" w16cid:durableId="781798846">
    <w:abstractNumId w:val="0"/>
  </w:num>
  <w:num w:numId="10" w16cid:durableId="1881162518">
    <w:abstractNumId w:val="10"/>
  </w:num>
  <w:num w:numId="11" w16cid:durableId="3151119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33EE1"/>
    <w:rsid w:val="0029639D"/>
    <w:rsid w:val="00326F90"/>
    <w:rsid w:val="00487D91"/>
    <w:rsid w:val="00671B4D"/>
    <w:rsid w:val="00AA1D8D"/>
    <w:rsid w:val="00B47730"/>
    <w:rsid w:val="00CA370F"/>
    <w:rsid w:val="00CB0664"/>
    <w:rsid w:val="00CB65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B9CF1"/>
  <w14:defaultImageDpi w14:val="300"/>
  <w15:docId w15:val="{5D18B127-345C-40DF-A4B5-6BCDDFEE6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1313</Characters>
  <Application>Microsoft Office Word</Application>
  <DocSecurity>0</DocSecurity>
  <Lines>29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2025-12-23T21:07:00Z</dcterms:created>
  <dcterms:modified xsi:type="dcterms:W3CDTF">2025-12-23T21:08:00Z</dcterms:modified>
  <cp:category/>
</cp:coreProperties>
</file>