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FF03488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3D4530">
        <w:t>Macro conditions reflect slowing growth and pressured earnings expectations alongside still-elevated but decelerating inflation, and the tape corroborates that mix via a weaker USD, strong bid for Gold and the Energy complex, modestly higher yields, and flat bonds, all of which point to investors leaning into reflationary, real-asset and cyclically geared exposures even as they hedge late-cycle growth risk.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3204"/>
    <w:rsid w:val="00486EAF"/>
    <w:rsid w:val="00487528"/>
    <w:rsid w:val="004B54D8"/>
    <w:rsid w:val="004C6372"/>
    <w:rsid w:val="004D4392"/>
    <w:rsid w:val="00515504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93CD3"/>
    <w:rsid w:val="00EA0B3A"/>
    <w:rsid w:val="00EB2D7D"/>
    <w:rsid w:val="00EC15F6"/>
    <w:rsid w:val="00F004A1"/>
    <w:rsid w:val="00F0530E"/>
    <w:rsid w:val="00F06037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58</Words>
  <Characters>366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41</cp:revision>
  <dcterms:created xsi:type="dcterms:W3CDTF">2025-10-18T00:25:00Z</dcterms:created>
  <dcterms:modified xsi:type="dcterms:W3CDTF">2025-12-23T21:07:00Z</dcterms:modified>
</cp:coreProperties>
</file>