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5048F" w14:textId="77777777" w:rsidR="00232303" w:rsidRPr="00F75703" w:rsidRDefault="00547C0F" w:rsidP="00232303">
      <w:r w:rsidRPr="00C73559">
        <w:rPr>
          <w:b/>
          <w:bCs/>
        </w:rPr>
        <w:t>Bottom line:</w:t>
      </w:r>
      <w:r w:rsidRPr="00C73559">
        <w:t xml:space="preserve"> </w:t>
      </w:r>
      <w:r w:rsidR="00232303" w:rsidRPr="00F75703">
        <w:t xml:space="preserve">Gold firmed while yields held steady and the dollar was flat—an encouraging mix that implies </w:t>
      </w:r>
      <w:r w:rsidR="00232303" w:rsidRPr="00F75703">
        <w:rPr>
          <w:b/>
          <w:bCs/>
        </w:rPr>
        <w:t>growth stability with easing inflation pressures</w:t>
      </w:r>
      <w:r w:rsidR="00232303" w:rsidRPr="00F75703">
        <w:t xml:space="preserve">. The tone remains </w:t>
      </w:r>
      <w:r w:rsidR="00232303" w:rsidRPr="00F75703">
        <w:rPr>
          <w:b/>
          <w:bCs/>
        </w:rPr>
        <w:t>constructive for risk assets</w:t>
      </w:r>
      <w:r w:rsidR="00232303" w:rsidRPr="00F75703">
        <w:t>, favoring cyclical participation and balanced positioning.</w:t>
      </w:r>
    </w:p>
    <w:p w14:paraId="5A40CDC3" w14:textId="45ACB233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2303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35</Words>
  <Characters>227</Characters>
  <Application>Microsoft Office Word</Application>
  <DocSecurity>0</DocSecurity>
  <Lines>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23</cp:revision>
  <dcterms:created xsi:type="dcterms:W3CDTF">2025-10-14T15:51:00Z</dcterms:created>
  <dcterms:modified xsi:type="dcterms:W3CDTF">2025-11-08T01:12:00Z</dcterms:modified>
</cp:coreProperties>
</file>