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5E1D9" w14:textId="77777777" w:rsidR="00E407B6" w:rsidRDefault="00000000">
      <w:r>
        <w:t>Monthly Market Read: December 12, 2025</w:t>
      </w:r>
    </w:p>
    <w:p w14:paraId="38B2FA69" w14:textId="77777777" w:rsidR="00E407B6" w:rsidRDefault="00000000">
      <w:r>
        <w:t>The market is saying (all numbers are MTD % returns):</w:t>
      </w:r>
    </w:p>
    <w:p w14:paraId="453D6117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Breadth: 54.8% of names are positive.</w:t>
      </w:r>
    </w:p>
    <w:p w14:paraId="5EC28C1D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Information Technology: leading (avg +2.40%)</w:t>
      </w:r>
    </w:p>
    <w:p w14:paraId="68862FCA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Industrials: leading (avg +2.19%)</w:t>
      </w:r>
    </w:p>
    <w:p w14:paraId="7EE450DD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Consumer Staples: leading (avg +0.80%)</w:t>
      </w:r>
    </w:p>
    <w:p w14:paraId="17FF317D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Consumer Discretionary: leading (avg +2.50%)</w:t>
      </w:r>
    </w:p>
    <w:p w14:paraId="341A3DFC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Financials: leading (avg +3.82%)</w:t>
      </w:r>
    </w:p>
    <w:p w14:paraId="6DC8C183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Utilities: lagging (avg -5.24%)</w:t>
      </w:r>
    </w:p>
    <w:p w14:paraId="49B4BE0B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Real Estate: lagging (avg -2.15%)</w:t>
      </w:r>
    </w:p>
    <w:p w14:paraId="35EB84C9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Materials: leading (avg +0.75%)</w:t>
      </w:r>
    </w:p>
    <w:p w14:paraId="2751F63A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Energy: steady (avg +0.05%)</w:t>
      </w:r>
    </w:p>
    <w:p w14:paraId="0E5FD56E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Health Care: lagging (avg -1.26%)</w:t>
      </w:r>
    </w:p>
    <w:p w14:paraId="0D8BA5F2" w14:textId="77777777" w:rsidR="00E407B6" w:rsidRDefault="00000000" w:rsidP="00024B56">
      <w:pPr>
        <w:pStyle w:val="ListBullet"/>
        <w:numPr>
          <w:ilvl w:val="0"/>
          <w:numId w:val="10"/>
        </w:numPr>
      </w:pPr>
      <w:r>
        <w:t>Communication Services: leading (avg +1.75%)</w:t>
      </w:r>
    </w:p>
    <w:p w14:paraId="168C5B6F" w14:textId="77777777" w:rsidR="00E407B6" w:rsidRDefault="00000000">
      <w:r>
        <w:t>Macro levers (MTD % returns):</w:t>
      </w:r>
    </w:p>
    <w:p w14:paraId="219C77FC" w14:textId="77777777" w:rsidR="00E407B6" w:rsidRDefault="00000000" w:rsidP="00024B56">
      <w:pPr>
        <w:pStyle w:val="ListBullet"/>
        <w:numPr>
          <w:ilvl w:val="0"/>
          <w:numId w:val="11"/>
        </w:numPr>
      </w:pPr>
      <w:r>
        <w:t>Gold: leading (avg +1.95%)</w:t>
      </w:r>
    </w:p>
    <w:p w14:paraId="0AB3BD0A" w14:textId="77777777" w:rsidR="00E407B6" w:rsidRDefault="00000000" w:rsidP="00024B56">
      <w:pPr>
        <w:pStyle w:val="ListBullet"/>
        <w:numPr>
          <w:ilvl w:val="0"/>
          <w:numId w:val="11"/>
        </w:numPr>
      </w:pPr>
      <w:r>
        <w:t>USD: soft (avg -0.92%)</w:t>
      </w:r>
    </w:p>
    <w:p w14:paraId="2C67EED8" w14:textId="77777777" w:rsidR="00E407B6" w:rsidRDefault="00000000" w:rsidP="00024B56">
      <w:pPr>
        <w:pStyle w:val="ListBullet"/>
        <w:numPr>
          <w:ilvl w:val="0"/>
          <w:numId w:val="11"/>
        </w:numPr>
      </w:pPr>
      <w:r>
        <w:t>Yields: leading (avg +4.25%)</w:t>
      </w:r>
    </w:p>
    <w:p w14:paraId="2A428F84" w14:textId="77777777" w:rsidR="00E407B6" w:rsidRDefault="00000000" w:rsidP="00024B56">
      <w:pPr>
        <w:pStyle w:val="ListBullet"/>
        <w:numPr>
          <w:ilvl w:val="0"/>
          <w:numId w:val="11"/>
        </w:numPr>
      </w:pPr>
      <w:r>
        <w:t>Bonds: soft (avg -1.57%)</w:t>
      </w:r>
    </w:p>
    <w:p w14:paraId="56887386" w14:textId="77777777" w:rsidR="00E407B6" w:rsidRDefault="00000000" w:rsidP="00024B56">
      <w:pPr>
        <w:pStyle w:val="ListBullet"/>
        <w:numPr>
          <w:ilvl w:val="0"/>
          <w:numId w:val="11"/>
        </w:numPr>
      </w:pPr>
      <w:r>
        <w:t>Energy complex: soft (avg -8.38%)</w:t>
      </w:r>
    </w:p>
    <w:p w14:paraId="554097CE" w14:textId="77777777" w:rsidR="00E407B6" w:rsidRDefault="00000000">
      <w:r>
        <w:t xml:space="preserve">Bottom line: Market breadth is constructive with just over half of constituents positive month-to-date, and the tape is rewarding cyclical and growth-linked sectors as Financials (+3.82%), Consumer Discretionary (+2.50%), Information Technology (+2.40%), Industrials (+2.19%), Communication Services (+1.75%), Consumer Staples (+0.80%), and Materials (+0.75%) lead, while defensives and rate-sensitives like Utilities (-5.24%), Real Estate (-2.15%), Health Care (-1.26%), and to a lesser extent Energy (+0.05%) lag in a clear rotation away from traditional safety. </w:t>
      </w:r>
      <w:bookmarkStart w:id="0" w:name="_Hlk216462440"/>
      <w:r>
        <w:t>Macro conditions reflect a backdrop where growth is slowing and earnings revisions remain under pressure even as inflation cools from peak levels but stays above pre-COVID norms, and that mix is echoed in the macro levers with higher yields (+4.25%) and weaker bonds (-1.57%) pressuring classic defensives, a softer USD (-0.92%) and firm gold (+1.95%) hinting at lingering macro and policy anxiety, and a notably soft energy complex (-8.38%) underscoring the decelerating demand side of the story despite the market’s current preference for cyclicals.</w:t>
      </w:r>
      <w:bookmarkEnd w:id="0"/>
    </w:p>
    <w:sectPr w:rsidR="00E407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096D72"/>
    <w:multiLevelType w:val="hybridMultilevel"/>
    <w:tmpl w:val="09E87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D24942"/>
    <w:multiLevelType w:val="hybridMultilevel"/>
    <w:tmpl w:val="7778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483609">
    <w:abstractNumId w:val="8"/>
  </w:num>
  <w:num w:numId="2" w16cid:durableId="65038285">
    <w:abstractNumId w:val="6"/>
  </w:num>
  <w:num w:numId="3" w16cid:durableId="653417187">
    <w:abstractNumId w:val="5"/>
  </w:num>
  <w:num w:numId="4" w16cid:durableId="694577758">
    <w:abstractNumId w:val="4"/>
  </w:num>
  <w:num w:numId="5" w16cid:durableId="230971932">
    <w:abstractNumId w:val="7"/>
  </w:num>
  <w:num w:numId="6" w16cid:durableId="1953128063">
    <w:abstractNumId w:val="3"/>
  </w:num>
  <w:num w:numId="7" w16cid:durableId="130289725">
    <w:abstractNumId w:val="2"/>
  </w:num>
  <w:num w:numId="8" w16cid:durableId="2130930727">
    <w:abstractNumId w:val="1"/>
  </w:num>
  <w:num w:numId="9" w16cid:durableId="622618682">
    <w:abstractNumId w:val="0"/>
  </w:num>
  <w:num w:numId="10" w16cid:durableId="1150944562">
    <w:abstractNumId w:val="9"/>
  </w:num>
  <w:num w:numId="11" w16cid:durableId="159431416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B56"/>
    <w:rsid w:val="00034616"/>
    <w:rsid w:val="0006063C"/>
    <w:rsid w:val="0015074B"/>
    <w:rsid w:val="0029639D"/>
    <w:rsid w:val="00326F90"/>
    <w:rsid w:val="00402FA0"/>
    <w:rsid w:val="00885666"/>
    <w:rsid w:val="00AA1D8D"/>
    <w:rsid w:val="00B47730"/>
    <w:rsid w:val="00CB0664"/>
    <w:rsid w:val="00E407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883B7E"/>
  <w14:defaultImageDpi w14:val="300"/>
  <w15:docId w15:val="{A660F56D-2C62-4E34-AAFC-6CB19C208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252</Words>
  <Characters>1565</Characters>
  <Application>Microsoft Office Word</Application>
  <DocSecurity>0</DocSecurity>
  <Lines>33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2025-12-13T01:06:00Z</dcterms:created>
  <dcterms:modified xsi:type="dcterms:W3CDTF">2025-12-13T01:07:00Z</dcterms:modified>
  <cp:category/>
</cp:coreProperties>
</file>