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C3687" w14:textId="77777777" w:rsidR="00020EA8" w:rsidRDefault="00000000">
      <w:r>
        <w:t>Weekly Market Read: December 12, 2025</w:t>
      </w:r>
    </w:p>
    <w:p w14:paraId="788F08E7" w14:textId="77777777" w:rsidR="00020EA8" w:rsidRDefault="00000000">
      <w:r>
        <w:t>The market is saying (all numbers are WTD % returns):</w:t>
      </w:r>
    </w:p>
    <w:p w14:paraId="2255751D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Breadth: 58.7% of names are positive.</w:t>
      </w:r>
    </w:p>
    <w:p w14:paraId="437AA24A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Information Technology: lagging (avg -1.21%)</w:t>
      </w:r>
    </w:p>
    <w:p w14:paraId="52B0D908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Industrials: leading (avg +1.27%)</w:t>
      </w:r>
    </w:p>
    <w:p w14:paraId="6582F42D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Consumer Staples: leading (avg +1.44%)</w:t>
      </w:r>
    </w:p>
    <w:p w14:paraId="6BDE4E3E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Consumer Discretionary: leading (avg +1.96%)</w:t>
      </w:r>
    </w:p>
    <w:p w14:paraId="4A6C8FF1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Financials: leading (avg +2.84%)</w:t>
      </w:r>
    </w:p>
    <w:p w14:paraId="41DAEE49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Utilities: lagging (avg -0.80%)</w:t>
      </w:r>
    </w:p>
    <w:p w14:paraId="06F44947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Real Estate: firm (avg +0.34%)</w:t>
      </w:r>
    </w:p>
    <w:p w14:paraId="64ABEBB4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Materials: leading (avg +2.29%)</w:t>
      </w:r>
    </w:p>
    <w:p w14:paraId="327E3A19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Energy: lagging (avg -2.51%)</w:t>
      </w:r>
    </w:p>
    <w:p w14:paraId="2F87A587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Health Care: firm (avg +0.33%)</w:t>
      </w:r>
    </w:p>
    <w:p w14:paraId="01E5FAB9" w14:textId="77777777" w:rsidR="00020EA8" w:rsidRDefault="00000000" w:rsidP="007565E2">
      <w:pPr>
        <w:pStyle w:val="ListBullet"/>
        <w:numPr>
          <w:ilvl w:val="0"/>
          <w:numId w:val="10"/>
        </w:numPr>
      </w:pPr>
      <w:r>
        <w:t>Communication Services: flat (avg +0.05%)</w:t>
      </w:r>
    </w:p>
    <w:p w14:paraId="4469639D" w14:textId="77777777" w:rsidR="00020EA8" w:rsidRDefault="00000000">
      <w:r>
        <w:t>Macro levers (WTD % returns):</w:t>
      </w:r>
    </w:p>
    <w:p w14:paraId="1A1F51E2" w14:textId="77777777" w:rsidR="00020EA8" w:rsidRDefault="00000000" w:rsidP="007565E2">
      <w:pPr>
        <w:pStyle w:val="ListBullet"/>
        <w:numPr>
          <w:ilvl w:val="0"/>
          <w:numId w:val="11"/>
        </w:numPr>
      </w:pPr>
      <w:r>
        <w:t>Gold: leading (avg +2.33%)</w:t>
      </w:r>
    </w:p>
    <w:p w14:paraId="3E950865" w14:textId="77777777" w:rsidR="00020EA8" w:rsidRDefault="00000000" w:rsidP="007565E2">
      <w:pPr>
        <w:pStyle w:val="ListBullet"/>
        <w:numPr>
          <w:ilvl w:val="0"/>
          <w:numId w:val="11"/>
        </w:numPr>
      </w:pPr>
      <w:r>
        <w:t>USD: lagging (avg -0.46%)</w:t>
      </w:r>
    </w:p>
    <w:p w14:paraId="766FD47E" w14:textId="77777777" w:rsidR="00020EA8" w:rsidRDefault="00000000" w:rsidP="007565E2">
      <w:pPr>
        <w:pStyle w:val="ListBullet"/>
        <w:numPr>
          <w:ilvl w:val="0"/>
          <w:numId w:val="11"/>
        </w:numPr>
      </w:pPr>
      <w:r>
        <w:t>Yields: leading (avg +1.23%)</w:t>
      </w:r>
    </w:p>
    <w:p w14:paraId="3B37E2C1" w14:textId="77777777" w:rsidR="00020EA8" w:rsidRDefault="00000000" w:rsidP="007565E2">
      <w:pPr>
        <w:pStyle w:val="ListBullet"/>
        <w:numPr>
          <w:ilvl w:val="0"/>
          <w:numId w:val="11"/>
        </w:numPr>
      </w:pPr>
      <w:r>
        <w:t>Bonds: lagging (avg -0.47%)</w:t>
      </w:r>
    </w:p>
    <w:p w14:paraId="6A02DF0D" w14:textId="77777777" w:rsidR="00020EA8" w:rsidRDefault="00000000" w:rsidP="007565E2">
      <w:pPr>
        <w:pStyle w:val="ListBullet"/>
        <w:numPr>
          <w:ilvl w:val="0"/>
          <w:numId w:val="11"/>
        </w:numPr>
      </w:pPr>
      <w:r>
        <w:t>Energy complex: lagging (avg -13.28%)</w:t>
      </w:r>
    </w:p>
    <w:p w14:paraId="612C90C3" w14:textId="77777777" w:rsidR="00020EA8" w:rsidRDefault="00000000">
      <w:r>
        <w:t xml:space="preserve">Bottom line: Breadth is constructive with nearly 60% of names positive, but the quality of leadership is skewed toward cyclicals and rate-sensitives as Financials, Consumer Discretionary, Industrials, and Materials pace gains while defensives are mixed, with Staples bid but Utilities and Real Estate underperforming on a relative basis and classic secular growth in Technology notably lagging alongside Energy. </w:t>
      </w:r>
      <w:bookmarkStart w:id="0" w:name="_Hlk216462391"/>
      <w:r>
        <w:t>Macro conditions reflect slowing growth and still-elevated-but-easing inflation expectations, and the tape is consistent with that mix as higher yields and weaker bonds punish duration assets, a softer USD and strong gold bid highlight lingering inflation and policy uncertainty, and a sharply weaker energy complex underscores mounting demand concerns even as cyclicals continue to enjoy a late-cycle bid for now.</w:t>
      </w:r>
      <w:bookmarkEnd w:id="0"/>
    </w:p>
    <w:sectPr w:rsidR="00020E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A63B6B"/>
    <w:multiLevelType w:val="hybridMultilevel"/>
    <w:tmpl w:val="4D203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C847C2"/>
    <w:multiLevelType w:val="hybridMultilevel"/>
    <w:tmpl w:val="67743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7597813">
    <w:abstractNumId w:val="8"/>
  </w:num>
  <w:num w:numId="2" w16cid:durableId="1630473626">
    <w:abstractNumId w:val="6"/>
  </w:num>
  <w:num w:numId="3" w16cid:durableId="1002662513">
    <w:abstractNumId w:val="5"/>
  </w:num>
  <w:num w:numId="4" w16cid:durableId="911038210">
    <w:abstractNumId w:val="4"/>
  </w:num>
  <w:num w:numId="5" w16cid:durableId="31154629">
    <w:abstractNumId w:val="7"/>
  </w:num>
  <w:num w:numId="6" w16cid:durableId="1680236015">
    <w:abstractNumId w:val="3"/>
  </w:num>
  <w:num w:numId="7" w16cid:durableId="2027175940">
    <w:abstractNumId w:val="2"/>
  </w:num>
  <w:num w:numId="8" w16cid:durableId="475875631">
    <w:abstractNumId w:val="1"/>
  </w:num>
  <w:num w:numId="9" w16cid:durableId="1313564614">
    <w:abstractNumId w:val="0"/>
  </w:num>
  <w:num w:numId="10" w16cid:durableId="2033190735">
    <w:abstractNumId w:val="9"/>
  </w:num>
  <w:num w:numId="11" w16cid:durableId="4660513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EA8"/>
    <w:rsid w:val="00034616"/>
    <w:rsid w:val="0006063C"/>
    <w:rsid w:val="0015074B"/>
    <w:rsid w:val="00186B46"/>
    <w:rsid w:val="0029639D"/>
    <w:rsid w:val="00326F90"/>
    <w:rsid w:val="007565E2"/>
    <w:rsid w:val="008572B4"/>
    <w:rsid w:val="00AA1D8D"/>
    <w:rsid w:val="00B47730"/>
    <w:rsid w:val="00CB0664"/>
    <w:rsid w:val="00EE22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DC2538"/>
  <w14:defaultImageDpi w14:val="300"/>
  <w15:docId w15:val="{F3EF26EB-392E-4C9A-B0DA-F5286A1AD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213</Words>
  <Characters>1315</Characters>
  <Application>Microsoft Office Word</Application>
  <DocSecurity>0</DocSecurity>
  <Lines>29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2025-12-13T01:06:00Z</dcterms:created>
  <dcterms:modified xsi:type="dcterms:W3CDTF">2025-12-13T01:06:00Z</dcterms:modified>
  <cp:category/>
</cp:coreProperties>
</file>