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FB13EF1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3C18C0">
        <w:t>Macro conditions reflect slowing growth and still-elevated-but-easing inflation expectations, and the tape is consistent with that mix as higher yields and weaker bonds punish duration assets, a softer USD and strong gold bid highlight lingering inflation and policy uncertainty, and a sharply weaker energy complex underscores mounting demand concerns even as cyclicals continue to enjoy a late-cycle bid for now.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24917"/>
    <w:rsid w:val="00A66203"/>
    <w:rsid w:val="00AE05E9"/>
    <w:rsid w:val="00AF286D"/>
    <w:rsid w:val="00B20151"/>
    <w:rsid w:val="00B24CCD"/>
    <w:rsid w:val="00B652DE"/>
    <w:rsid w:val="00B71F8B"/>
    <w:rsid w:val="00B93B41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</Words>
  <Characters>369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34</cp:revision>
  <dcterms:created xsi:type="dcterms:W3CDTF">2025-10-18T00:25:00Z</dcterms:created>
  <dcterms:modified xsi:type="dcterms:W3CDTF">2025-12-13T01:06:00Z</dcterms:modified>
</cp:coreProperties>
</file>