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F2DDB" w14:textId="77777777" w:rsidR="00C62347" w:rsidRDefault="00000000">
      <w:r>
        <w:t>Weekly Market Read: December 05, 2025</w:t>
      </w:r>
    </w:p>
    <w:p w14:paraId="3F3521EC" w14:textId="77777777" w:rsidR="00C62347" w:rsidRDefault="00000000">
      <w:r>
        <w:t>The market is saying (all numbers are WTD % returns):</w:t>
      </w:r>
    </w:p>
    <w:p w14:paraId="74634222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Breadth: 50.8% of names are positive.</w:t>
      </w:r>
    </w:p>
    <w:p w14:paraId="1EED05AB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Information Technology: leading (avg +3.64%).</w:t>
      </w:r>
    </w:p>
    <w:p w14:paraId="05FF3995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Industrials: leading (avg +0.90%).</w:t>
      </w:r>
    </w:p>
    <w:p w14:paraId="2B50AF0B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Consumer Staples: lagging (avg -0.64%).</w:t>
      </w:r>
    </w:p>
    <w:p w14:paraId="51580F63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Consumer Discretionary: leading (avg +0.51%).</w:t>
      </w:r>
    </w:p>
    <w:p w14:paraId="3A53335D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Financials: leading (avg +0.90%).</w:t>
      </w:r>
    </w:p>
    <w:p w14:paraId="24E64DEE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Utilities: lagging (avg -4.48%).</w:t>
      </w:r>
    </w:p>
    <w:p w14:paraId="32486074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Real Estate: lagging (avg -2.46%).</w:t>
      </w:r>
    </w:p>
    <w:p w14:paraId="1DA91670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Materials: lagging (avg -1.50%).</w:t>
      </w:r>
    </w:p>
    <w:p w14:paraId="7ACE876C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Energy: leading (avg +2.61%).</w:t>
      </w:r>
    </w:p>
    <w:p w14:paraId="602E380A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Health Care: lagging (avg -1.62%).</w:t>
      </w:r>
    </w:p>
    <w:p w14:paraId="6828B092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Communication Services: leading (avg +1.65%).</w:t>
      </w:r>
    </w:p>
    <w:p w14:paraId="43C84331" w14:textId="77777777" w:rsidR="00C62347" w:rsidRDefault="00000000">
      <w:r>
        <w:t>Macro levers (WTD % returns):</w:t>
      </w:r>
    </w:p>
    <w:p w14:paraId="74C6789A" w14:textId="77777777" w:rsidR="00C62347" w:rsidRDefault="00000000" w:rsidP="00373D75">
      <w:pPr>
        <w:pStyle w:val="ListBullet"/>
        <w:numPr>
          <w:ilvl w:val="0"/>
          <w:numId w:val="11"/>
        </w:numPr>
      </w:pPr>
      <w:r>
        <w:t>Gold: lagging (avg -0.37%).</w:t>
      </w:r>
    </w:p>
    <w:p w14:paraId="7D0DA8EC" w14:textId="77777777" w:rsidR="00C62347" w:rsidRDefault="00000000" w:rsidP="00373D75">
      <w:pPr>
        <w:pStyle w:val="ListBullet"/>
        <w:numPr>
          <w:ilvl w:val="0"/>
          <w:numId w:val="11"/>
        </w:numPr>
      </w:pPr>
      <w:r>
        <w:t>USD: lagging (avg -0.46%).</w:t>
      </w:r>
    </w:p>
    <w:p w14:paraId="1016650A" w14:textId="77777777" w:rsidR="00C62347" w:rsidRDefault="00000000" w:rsidP="00373D75">
      <w:pPr>
        <w:pStyle w:val="ListBullet"/>
        <w:numPr>
          <w:ilvl w:val="0"/>
          <w:numId w:val="11"/>
        </w:numPr>
      </w:pPr>
      <w:r>
        <w:t>Yields: leading (avg +2.98%).</w:t>
      </w:r>
    </w:p>
    <w:p w14:paraId="462EFB7C" w14:textId="77777777" w:rsidR="00C62347" w:rsidRDefault="00000000" w:rsidP="00373D75">
      <w:pPr>
        <w:pStyle w:val="ListBullet"/>
        <w:numPr>
          <w:ilvl w:val="0"/>
          <w:numId w:val="11"/>
        </w:numPr>
      </w:pPr>
      <w:r>
        <w:t>Bonds: lagging (avg -1.11%).</w:t>
      </w:r>
    </w:p>
    <w:p w14:paraId="1372AF7F" w14:textId="77777777" w:rsidR="00C62347" w:rsidRDefault="00000000" w:rsidP="00373D75">
      <w:pPr>
        <w:pStyle w:val="ListBullet"/>
        <w:numPr>
          <w:ilvl w:val="0"/>
          <w:numId w:val="11"/>
        </w:numPr>
      </w:pPr>
      <w:r>
        <w:t>Energy complex: leading (avg +6.17%).</w:t>
      </w:r>
    </w:p>
    <w:p w14:paraId="2F634F69" w14:textId="77777777" w:rsidR="00C62347" w:rsidRDefault="00000000">
      <w:r>
        <w:t>Bottom line: Breadth is only modestly positive with just over half of names up on the week, but leadership is clearly skewed toward cyclicals and growth-sensitive sectors, with Technology, Financials, Industrials, Communication Services, and Energy all outperforming while classic defensives and rate-sensitives like Utilities, Real Estate, Health Care, Consumer Staples, and Materials lag alongside softer gold. Macro conditions reflect a tape that is leaning into higher nominal yields and a stronger energy complex while bonds and the dollar fade, consistent with markets repricing a mix of slowing but still positive growth and inflation that is easing from the peak yet remains above pre-COVID norms. Taken together, the week’s action points to investors rotating toward higher-beta, earnings-levered areas and away from duration and defensives, effectively expressing a view that the near-term growth and inflation backdrop is less about imminent recession risk and more about navigating a late-cycle slowdown with sticky but moderating price pressures.</w:t>
      </w:r>
    </w:p>
    <w:sectPr w:rsidR="00C623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C808F4"/>
    <w:multiLevelType w:val="hybridMultilevel"/>
    <w:tmpl w:val="7608A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A50D8D"/>
    <w:multiLevelType w:val="hybridMultilevel"/>
    <w:tmpl w:val="1EAE3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499891">
    <w:abstractNumId w:val="8"/>
  </w:num>
  <w:num w:numId="2" w16cid:durableId="1923290917">
    <w:abstractNumId w:val="6"/>
  </w:num>
  <w:num w:numId="3" w16cid:durableId="256721648">
    <w:abstractNumId w:val="5"/>
  </w:num>
  <w:num w:numId="4" w16cid:durableId="378476363">
    <w:abstractNumId w:val="4"/>
  </w:num>
  <w:num w:numId="5" w16cid:durableId="1494569616">
    <w:abstractNumId w:val="7"/>
  </w:num>
  <w:num w:numId="6" w16cid:durableId="325984640">
    <w:abstractNumId w:val="3"/>
  </w:num>
  <w:num w:numId="7" w16cid:durableId="1220750885">
    <w:abstractNumId w:val="2"/>
  </w:num>
  <w:num w:numId="8" w16cid:durableId="1249803784">
    <w:abstractNumId w:val="1"/>
  </w:num>
  <w:num w:numId="9" w16cid:durableId="1086271619">
    <w:abstractNumId w:val="0"/>
  </w:num>
  <w:num w:numId="10" w16cid:durableId="527642972">
    <w:abstractNumId w:val="10"/>
  </w:num>
  <w:num w:numId="11" w16cid:durableId="8264398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6679"/>
    <w:rsid w:val="00326F90"/>
    <w:rsid w:val="00373D75"/>
    <w:rsid w:val="00405E41"/>
    <w:rsid w:val="00493B09"/>
    <w:rsid w:val="00AA1D8D"/>
    <w:rsid w:val="00AF4889"/>
    <w:rsid w:val="00B47730"/>
    <w:rsid w:val="00C62347"/>
    <w:rsid w:val="00CB0664"/>
    <w:rsid w:val="00D70C22"/>
    <w:rsid w:val="00E77D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4847B7"/>
  <w14:defaultImageDpi w14:val="300"/>
  <w15:docId w15:val="{536B3B00-3607-4F4F-9603-8FF8D9CE1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5</cp:revision>
  <dcterms:created xsi:type="dcterms:W3CDTF">2025-12-06T01:48:00Z</dcterms:created>
  <dcterms:modified xsi:type="dcterms:W3CDTF">2025-12-06T01:50:00Z</dcterms:modified>
  <cp:category/>
</cp:coreProperties>
</file>