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4E39A" w14:textId="77777777" w:rsidR="009F51F6" w:rsidRDefault="00000000">
      <w:r>
        <w:t>Monthly Market Read: January 12, 2026</w:t>
      </w:r>
    </w:p>
    <w:p w14:paraId="1F528C40" w14:textId="77777777" w:rsidR="009F51F6" w:rsidRDefault="00000000">
      <w:r>
        <w:t>The market is saying (all numbers are MTD % returns):</w:t>
      </w:r>
    </w:p>
    <w:p w14:paraId="3CDB411A" w14:textId="77777777" w:rsidR="009F51F6" w:rsidRDefault="00000000" w:rsidP="009B7E17">
      <w:pPr>
        <w:pStyle w:val="ListBullet"/>
        <w:numPr>
          <w:ilvl w:val="0"/>
          <w:numId w:val="10"/>
        </w:numPr>
      </w:pPr>
      <w:r>
        <w:t>Breadth: 72.7% of names are positive.</w:t>
      </w:r>
    </w:p>
    <w:p w14:paraId="425D51B8" w14:textId="77777777" w:rsidR="009F51F6" w:rsidRDefault="00000000" w:rsidP="009B7E17">
      <w:pPr>
        <w:pStyle w:val="ListBullet"/>
        <w:numPr>
          <w:ilvl w:val="0"/>
          <w:numId w:val="10"/>
        </w:numPr>
      </w:pPr>
      <w:r>
        <w:t>Information Technology: leading (avg +3.87%)</w:t>
      </w:r>
    </w:p>
    <w:p w14:paraId="1114E06E" w14:textId="77777777" w:rsidR="009F51F6" w:rsidRDefault="00000000" w:rsidP="009B7E17">
      <w:pPr>
        <w:pStyle w:val="ListBullet"/>
        <w:numPr>
          <w:ilvl w:val="0"/>
          <w:numId w:val="10"/>
        </w:numPr>
      </w:pPr>
      <w:r>
        <w:t>Industrials: leading (avg +5.50%)</w:t>
      </w:r>
    </w:p>
    <w:p w14:paraId="68F2949B" w14:textId="77777777" w:rsidR="009F51F6" w:rsidRDefault="00000000" w:rsidP="009B7E17">
      <w:pPr>
        <w:pStyle w:val="ListBullet"/>
        <w:numPr>
          <w:ilvl w:val="0"/>
          <w:numId w:val="10"/>
        </w:numPr>
      </w:pPr>
      <w:r>
        <w:t>Consumer Staples: leading (avg +2.55%)</w:t>
      </w:r>
    </w:p>
    <w:p w14:paraId="3D3BE470" w14:textId="77777777" w:rsidR="009F51F6" w:rsidRDefault="00000000" w:rsidP="009B7E17">
      <w:pPr>
        <w:pStyle w:val="ListBullet"/>
        <w:numPr>
          <w:ilvl w:val="0"/>
          <w:numId w:val="10"/>
        </w:numPr>
      </w:pPr>
      <w:r>
        <w:t>Consumer Discretionary: leading (avg +5.08%)</w:t>
      </w:r>
    </w:p>
    <w:p w14:paraId="3DB76644" w14:textId="77777777" w:rsidR="009F51F6" w:rsidRDefault="00000000" w:rsidP="009B7E17">
      <w:pPr>
        <w:pStyle w:val="ListBullet"/>
        <w:numPr>
          <w:ilvl w:val="0"/>
          <w:numId w:val="10"/>
        </w:numPr>
      </w:pPr>
      <w:r>
        <w:t>Financials: leading (avg +1.75%)</w:t>
      </w:r>
    </w:p>
    <w:p w14:paraId="3FDB26C7" w14:textId="77777777" w:rsidR="009F51F6" w:rsidRDefault="00000000" w:rsidP="009B7E17">
      <w:pPr>
        <w:pStyle w:val="ListBullet"/>
        <w:numPr>
          <w:ilvl w:val="0"/>
          <w:numId w:val="10"/>
        </w:numPr>
      </w:pPr>
      <w:r>
        <w:t>Utilities: soft (avg -0.16%)</w:t>
      </w:r>
    </w:p>
    <w:p w14:paraId="556B8598" w14:textId="77777777" w:rsidR="009F51F6" w:rsidRDefault="00000000" w:rsidP="009B7E17">
      <w:pPr>
        <w:pStyle w:val="ListBullet"/>
        <w:numPr>
          <w:ilvl w:val="0"/>
          <w:numId w:val="10"/>
        </w:numPr>
      </w:pPr>
      <w:r>
        <w:t>Real Estate: leading (avg +0.68%)</w:t>
      </w:r>
    </w:p>
    <w:p w14:paraId="18F1083D" w14:textId="77777777" w:rsidR="009F51F6" w:rsidRDefault="00000000" w:rsidP="009B7E17">
      <w:pPr>
        <w:pStyle w:val="ListBullet"/>
        <w:numPr>
          <w:ilvl w:val="0"/>
          <w:numId w:val="10"/>
        </w:numPr>
      </w:pPr>
      <w:r>
        <w:t>Materials: leading (avg +7.13%)</w:t>
      </w:r>
    </w:p>
    <w:p w14:paraId="71D5D4D6" w14:textId="77777777" w:rsidR="009F51F6" w:rsidRDefault="00000000" w:rsidP="009B7E17">
      <w:pPr>
        <w:pStyle w:val="ListBullet"/>
        <w:numPr>
          <w:ilvl w:val="0"/>
          <w:numId w:val="10"/>
        </w:numPr>
      </w:pPr>
      <w:r>
        <w:t>Energy: leading (avg +2.67%)</w:t>
      </w:r>
    </w:p>
    <w:p w14:paraId="33531D4A" w14:textId="77777777" w:rsidR="009F51F6" w:rsidRDefault="00000000" w:rsidP="009B7E17">
      <w:pPr>
        <w:pStyle w:val="ListBullet"/>
        <w:numPr>
          <w:ilvl w:val="0"/>
          <w:numId w:val="10"/>
        </w:numPr>
      </w:pPr>
      <w:r>
        <w:t>Health Care: leading (avg +3.29%)</w:t>
      </w:r>
    </w:p>
    <w:p w14:paraId="169769FD" w14:textId="77777777" w:rsidR="009F51F6" w:rsidRDefault="00000000" w:rsidP="009B7E17">
      <w:pPr>
        <w:pStyle w:val="ListBullet"/>
        <w:numPr>
          <w:ilvl w:val="0"/>
          <w:numId w:val="10"/>
        </w:numPr>
      </w:pPr>
      <w:r>
        <w:t>Communication Services: lagging (avg -1.65%)</w:t>
      </w:r>
    </w:p>
    <w:p w14:paraId="5FE4D716" w14:textId="77777777" w:rsidR="009F51F6" w:rsidRDefault="00000000">
      <w:r>
        <w:t>Macro levers (MTD % returns):</w:t>
      </w:r>
    </w:p>
    <w:p w14:paraId="691C59A1" w14:textId="77777777" w:rsidR="009F51F6" w:rsidRDefault="00000000" w:rsidP="009B7E17">
      <w:pPr>
        <w:pStyle w:val="ListBullet"/>
        <w:numPr>
          <w:ilvl w:val="0"/>
          <w:numId w:val="11"/>
        </w:numPr>
      </w:pPr>
      <w:r>
        <w:t>Gold: leading (avg +6.54%)</w:t>
      </w:r>
    </w:p>
    <w:p w14:paraId="7FA7723E" w14:textId="77777777" w:rsidR="009F51F6" w:rsidRDefault="00000000" w:rsidP="009B7E17">
      <w:pPr>
        <w:pStyle w:val="ListBullet"/>
        <w:numPr>
          <w:ilvl w:val="0"/>
          <w:numId w:val="11"/>
        </w:numPr>
      </w:pPr>
      <w:r>
        <w:t>USD: leading (avg +0.92%)</w:t>
      </w:r>
    </w:p>
    <w:p w14:paraId="55D69EEC" w14:textId="77777777" w:rsidR="009F51F6" w:rsidRDefault="00000000" w:rsidP="009B7E17">
      <w:pPr>
        <w:pStyle w:val="ListBullet"/>
        <w:numPr>
          <w:ilvl w:val="0"/>
          <w:numId w:val="11"/>
        </w:numPr>
      </w:pPr>
      <w:r>
        <w:t>Yields: leading (avg +0.60%)</w:t>
      </w:r>
    </w:p>
    <w:p w14:paraId="259B9AE1" w14:textId="77777777" w:rsidR="009F51F6" w:rsidRDefault="00000000" w:rsidP="009B7E17">
      <w:pPr>
        <w:pStyle w:val="ListBullet"/>
        <w:numPr>
          <w:ilvl w:val="0"/>
          <w:numId w:val="11"/>
        </w:numPr>
      </w:pPr>
      <w:r>
        <w:t>Bonds: leading (avg +0.33%)</w:t>
      </w:r>
    </w:p>
    <w:p w14:paraId="5D9166BA" w14:textId="77777777" w:rsidR="009F51F6" w:rsidRDefault="00000000" w:rsidP="009B7E17">
      <w:pPr>
        <w:pStyle w:val="ListBullet"/>
        <w:numPr>
          <w:ilvl w:val="0"/>
          <w:numId w:val="11"/>
        </w:numPr>
      </w:pPr>
      <w:r>
        <w:t>Energy complex: soft (avg -2.60%)</w:t>
      </w:r>
    </w:p>
    <w:p w14:paraId="72BFE02B" w14:textId="77777777" w:rsidR="009F51F6" w:rsidRDefault="00000000">
      <w:r>
        <w:t xml:space="preserve">Bottom line: With nearly three-quarters of stocks positive MTD, breadth is solid and the tape is rewarding cyclical and quality exposure, led by Industrials (+5.50%), Consumer Discretionary (+5.08%), Materials (+7.13%), Tech (+3.87%), Health Care (+3.29%), Energy (+2.67%), Consumer Staples (+2.55%), Financials (+1.75%), and Real Estate (+0.68%), while defensives like Utilities (-0.16%) and Communication Services (-1.65%) lag, signaling a pro-risk, economically sensitive tilt rather than a pure safety trade. </w:t>
      </w:r>
      <w:bookmarkStart w:id="0" w:name="_Hlk219140845"/>
      <w:r>
        <w:t>Macro conditions reflect growth that is steadily decelerating with earnings revisions still grinding lower, alongside inflation that is easing from peak levels but remains structurally above the pre-COVID regime, a mix echoed in firm gold (+6.54%), a stronger USD (+0.92%), mildly higher yields (+0.60%), resilient bonds (+0.33%), and a softer energy complex (-2.60%), reinforcing a cautious but still risk-on posture where investors are leaning into selective cyclicals while quietly paying for protection against lingering inflation and late-cycle growth risk.</w:t>
      </w:r>
      <w:bookmarkEnd w:id="0"/>
    </w:p>
    <w:sectPr w:rsidR="009F51F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7A879C1"/>
    <w:multiLevelType w:val="hybridMultilevel"/>
    <w:tmpl w:val="83F029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6401CB"/>
    <w:multiLevelType w:val="hybridMultilevel"/>
    <w:tmpl w:val="0B04EC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4835411">
    <w:abstractNumId w:val="8"/>
  </w:num>
  <w:num w:numId="2" w16cid:durableId="222299527">
    <w:abstractNumId w:val="6"/>
  </w:num>
  <w:num w:numId="3" w16cid:durableId="331103372">
    <w:abstractNumId w:val="5"/>
  </w:num>
  <w:num w:numId="4" w16cid:durableId="1408041466">
    <w:abstractNumId w:val="4"/>
  </w:num>
  <w:num w:numId="5" w16cid:durableId="1504541636">
    <w:abstractNumId w:val="7"/>
  </w:num>
  <w:num w:numId="6" w16cid:durableId="1513714496">
    <w:abstractNumId w:val="3"/>
  </w:num>
  <w:num w:numId="7" w16cid:durableId="1390806613">
    <w:abstractNumId w:val="2"/>
  </w:num>
  <w:num w:numId="8" w16cid:durableId="1513302869">
    <w:abstractNumId w:val="1"/>
  </w:num>
  <w:num w:numId="9" w16cid:durableId="897011053">
    <w:abstractNumId w:val="0"/>
  </w:num>
  <w:num w:numId="10" w16cid:durableId="900289475">
    <w:abstractNumId w:val="9"/>
  </w:num>
  <w:num w:numId="11" w16cid:durableId="52143555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9B7E17"/>
    <w:rsid w:val="009F51F6"/>
    <w:rsid w:val="00AA1D8D"/>
    <w:rsid w:val="00AB25C2"/>
    <w:rsid w:val="00B47730"/>
    <w:rsid w:val="00BA0DC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E69020"/>
  <w14:defaultImageDpi w14:val="300"/>
  <w15:docId w15:val="{51D5890A-A686-4A53-BCFC-B4ACB0C21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242</Words>
  <Characters>1537</Characters>
  <Application>Microsoft Office Word</Application>
  <DocSecurity>0</DocSecurity>
  <Lines>32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2026-01-13T01:06:00Z</dcterms:created>
  <dcterms:modified xsi:type="dcterms:W3CDTF">2026-01-13T01:07:00Z</dcterms:modified>
  <cp:category/>
</cp:coreProperties>
</file>