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32DC1EFA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E17602">
        <w:t>Macro conditions reflect a market leaning into slowing but still positive growth and moderating yet above-trend inflation expectations, consistent with firm yields, strong gold and energy complex performance, and a flat dollar and bond tape that together signal investors rotating toward quality and pricing power while staying hedged against both residual inflation risk and decelerating earnings.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870D1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45FD3"/>
    <w:rsid w:val="00BA3171"/>
    <w:rsid w:val="00BC5D14"/>
    <w:rsid w:val="00BE54F7"/>
    <w:rsid w:val="00C34B33"/>
    <w:rsid w:val="00C61AC6"/>
    <w:rsid w:val="00C80C73"/>
    <w:rsid w:val="00C82FF7"/>
    <w:rsid w:val="00CB07A2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59</Words>
  <Characters>353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60</cp:revision>
  <dcterms:created xsi:type="dcterms:W3CDTF">2025-10-14T15:51:00Z</dcterms:created>
  <dcterms:modified xsi:type="dcterms:W3CDTF">2026-01-13T01:05:00Z</dcterms:modified>
</cp:coreProperties>
</file>