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past 30 days, broad equities and sectors have shown only modest, mostly negative sensitivity to 10-year yields, with the S&amp;P 500, Nasdaq 100, Russell 2000, and Utilities all slightly leaning inverse but not tightly linked. The Nasdaq 100 and Utilities show the clearest negative 30D relationship, while Financials stand out for having relatively contained rate sensitivity in this window. Shorter (15D) and longer (90D) snapshots are mixed, reinforcing that equity rate sensitivity has been shallow and unstable rather than consistently one-sided.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