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past 30 days, gold shows the clearest and most consistent inverse relationship to the USD, so USD sensitivity across this set is concentrated in GLD rather than broad-based. Equities, oil, and broad commodities are only mildly negatively linked to the dollar and that linkage weakens further over 90 days, while Bitcoin has stayed largely detached from USD moves across all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