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past 30 trading days, broad U. S. equities and growth stocks (SPX and NDX) have shown a moderate inverse relationship with 10-year yields, indicating that rising rates have tended to coincide with equity weakness, especially recently. Small caps, financials, and utilities all show relatively contained 30-day rate sensitivity, with only mild negative linkage despite their reputations for being rate-exposed.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