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view, USD sensitivity is concentrated in hard assets, with gold, broad commodities, and oil all showing moderate, negative linkages, meaning they’ve tended to weaken when the dollar strengthens. Gold stands out as the single strongest USD-linked asset, and its firmly negative correlations across 15D and 90D underscore a persistent inverse relationship. By contrast, the S&amp;P 500 and Bitcoin show only mild and unstable connections to the dollar, suggesting equity and crypto moves have been relatively independent of recent USD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