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F0811" w14:textId="77777777" w:rsidR="00634B2E" w:rsidRDefault="00000000">
      <w:r>
        <w:t>Quarterly Market Read: January 22, 2026</w:t>
      </w:r>
    </w:p>
    <w:p w14:paraId="7A3E65DA" w14:textId="77777777" w:rsidR="00634B2E" w:rsidRDefault="00000000">
      <w:r>
        <w:t>The market is saying (all numbers are QTD % returns):</w:t>
      </w:r>
    </w:p>
    <w:p w14:paraId="46D64911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Breadth: 72.1% of names are positive.</w:t>
      </w:r>
    </w:p>
    <w:p w14:paraId="25BDE82B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Information Technology: leading (avg +4.70%)</w:t>
      </w:r>
    </w:p>
    <w:p w14:paraId="01808F0B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Industrials: leading (avg +7.44%)</w:t>
      </w:r>
    </w:p>
    <w:p w14:paraId="3BFC4F2B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Consumer Staples: leading (avg +5.40%)</w:t>
      </w:r>
    </w:p>
    <w:p w14:paraId="59760AF9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Consumer Discretionary: firm (avg +3.75%)</w:t>
      </w:r>
    </w:p>
    <w:p w14:paraId="208FDC68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Financials: flat/firm (avg +0.47%)</w:t>
      </w:r>
    </w:p>
    <w:p w14:paraId="4A07557A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Utilities: flat/firm (avg +1.10%)</w:t>
      </w:r>
    </w:p>
    <w:p w14:paraId="1666FF0B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Real Estate: firm (avg +2.49%)</w:t>
      </w:r>
    </w:p>
    <w:p w14:paraId="0852F4AF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Materials: leading (avg +10.09%)</w:t>
      </w:r>
    </w:p>
    <w:p w14:paraId="71818D13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Energy: leading (avg +8.62%)</w:t>
      </w:r>
    </w:p>
    <w:p w14:paraId="120E1840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Health Care: leading (avg +4.49%)</w:t>
      </w:r>
    </w:p>
    <w:p w14:paraId="41C51CF3" w14:textId="77777777" w:rsidR="00634B2E" w:rsidRDefault="00000000" w:rsidP="0015322F">
      <w:pPr>
        <w:pStyle w:val="ListBullet"/>
        <w:numPr>
          <w:ilvl w:val="0"/>
          <w:numId w:val="10"/>
        </w:numPr>
      </w:pPr>
      <w:r>
        <w:t>Communication Services: heavy (avg -3.36%)</w:t>
      </w:r>
    </w:p>
    <w:p w14:paraId="5B91C8A5" w14:textId="77777777" w:rsidR="00634B2E" w:rsidRDefault="00000000">
      <w:r>
        <w:t>Macro levers (QTD % returns):</w:t>
      </w:r>
    </w:p>
    <w:p w14:paraId="02CB4035" w14:textId="77777777" w:rsidR="00634B2E" w:rsidRDefault="00000000" w:rsidP="0015322F">
      <w:pPr>
        <w:pStyle w:val="ListBullet"/>
        <w:numPr>
          <w:ilvl w:val="0"/>
          <w:numId w:val="11"/>
        </w:numPr>
      </w:pPr>
      <w:r>
        <w:t>Gold: bid (avg +14.00%)</w:t>
      </w:r>
    </w:p>
    <w:p w14:paraId="4A6AD1B3" w14:textId="77777777" w:rsidR="00634B2E" w:rsidRDefault="00000000" w:rsidP="0015322F">
      <w:pPr>
        <w:pStyle w:val="ListBullet"/>
        <w:numPr>
          <w:ilvl w:val="0"/>
          <w:numId w:val="11"/>
        </w:numPr>
      </w:pPr>
      <w:r>
        <w:t>USD: flat (avg +0.06%)</w:t>
      </w:r>
    </w:p>
    <w:p w14:paraId="7EFB8C74" w14:textId="77777777" w:rsidR="00634B2E" w:rsidRDefault="00000000" w:rsidP="0015322F">
      <w:pPr>
        <w:pStyle w:val="ListBullet"/>
        <w:numPr>
          <w:ilvl w:val="0"/>
          <w:numId w:val="11"/>
        </w:numPr>
      </w:pPr>
      <w:r>
        <w:t>Yields: firm (avg +1.86%)</w:t>
      </w:r>
    </w:p>
    <w:p w14:paraId="1348397A" w14:textId="77777777" w:rsidR="00634B2E" w:rsidRDefault="00000000" w:rsidP="0015322F">
      <w:pPr>
        <w:pStyle w:val="ListBullet"/>
        <w:numPr>
          <w:ilvl w:val="0"/>
          <w:numId w:val="11"/>
        </w:numPr>
      </w:pPr>
      <w:r>
        <w:t>Bonds: flat (avg +0.34%)</w:t>
      </w:r>
    </w:p>
    <w:p w14:paraId="54D1B032" w14:textId="77777777" w:rsidR="00634B2E" w:rsidRDefault="00000000" w:rsidP="0015322F">
      <w:pPr>
        <w:pStyle w:val="ListBullet"/>
        <w:numPr>
          <w:ilvl w:val="0"/>
          <w:numId w:val="11"/>
        </w:numPr>
      </w:pPr>
      <w:r>
        <w:t>Energy Complex: bid (avg +6.69%)</w:t>
      </w:r>
    </w:p>
    <w:p w14:paraId="2FFFA9EC" w14:textId="77777777" w:rsidR="00634B2E" w:rsidRDefault="00000000">
      <w:r>
        <w:t>Bottom line: With roughly 72% of names positive QTD and leadership clustered in cyclicals and defensives alike—Materials (+10.1%), Energy (+8.6%), Industrials (+7.4%), Consumer Staples (+5.4%), Tech (+4.7%), and Health Care (+4.5%)—the tape is signaling broad participation, firm but not euphoric risk appetite, and only isolated weakness in Communication Services (-3.4%) while Financials, Utilities, Real Estate, and Consumer Discretionary grind higher. Macro conditions reflect growth that is slowing on a rolling-quarter basis alongside sticky, above-trend inflation, and the lever set—gold sharply bid, energy prices firm, yields grinding higher with bonds and the dollar effectively flat—confirms a market positioning for softer forward earnings against a backdrop of persistent price pressures rather than a clean disinflationary or outright recessionary regime.</w:t>
      </w:r>
    </w:p>
    <w:sectPr w:rsidR="00634B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CF1013"/>
    <w:multiLevelType w:val="hybridMultilevel"/>
    <w:tmpl w:val="D8363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12473"/>
    <w:multiLevelType w:val="hybridMultilevel"/>
    <w:tmpl w:val="F3CC9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3092652">
    <w:abstractNumId w:val="8"/>
  </w:num>
  <w:num w:numId="2" w16cid:durableId="1426463442">
    <w:abstractNumId w:val="6"/>
  </w:num>
  <w:num w:numId="3" w16cid:durableId="1697152652">
    <w:abstractNumId w:val="5"/>
  </w:num>
  <w:num w:numId="4" w16cid:durableId="554783347">
    <w:abstractNumId w:val="4"/>
  </w:num>
  <w:num w:numId="5" w16cid:durableId="288512656">
    <w:abstractNumId w:val="7"/>
  </w:num>
  <w:num w:numId="6" w16cid:durableId="2133092412">
    <w:abstractNumId w:val="3"/>
  </w:num>
  <w:num w:numId="7" w16cid:durableId="77211553">
    <w:abstractNumId w:val="2"/>
  </w:num>
  <w:num w:numId="8" w16cid:durableId="517425343">
    <w:abstractNumId w:val="1"/>
  </w:num>
  <w:num w:numId="9" w16cid:durableId="179247175">
    <w:abstractNumId w:val="0"/>
  </w:num>
  <w:num w:numId="10" w16cid:durableId="147669214">
    <w:abstractNumId w:val="10"/>
  </w:num>
  <w:num w:numId="11" w16cid:durableId="10969045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322F"/>
    <w:rsid w:val="0029639D"/>
    <w:rsid w:val="00326F90"/>
    <w:rsid w:val="004E3B46"/>
    <w:rsid w:val="00634B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4BEACD"/>
  <w14:defaultImageDpi w14:val="300"/>
  <w15:docId w15:val="{5627BB82-A271-4680-8BD7-C878C648B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2026-01-23T01:05:00Z</dcterms:created>
  <dcterms:modified xsi:type="dcterms:W3CDTF">2026-01-23T01:05:00Z</dcterms:modified>
  <cp:category/>
</cp:coreProperties>
</file>