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C67E650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16006">
        <w:t>Macro posture shows growth is slowing from elevated levels and earnings revisions are rolling while inflation pressures are easing but still above pre-COVID norms, which is echoed in today’s setup of stronger gold, a softer USD, steady-to-slightly firmer bonds and flat yields, all consistent with a market tilting toward quality growth and liquidity beneficiaries rather than classic late-cycle defensives.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006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1900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45853"/>
    <w:rsid w:val="004870D1"/>
    <w:rsid w:val="004B54D8"/>
    <w:rsid w:val="004D0FE0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972F9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A5BAD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066F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30043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68</cp:revision>
  <dcterms:created xsi:type="dcterms:W3CDTF">2025-10-14T15:51:00Z</dcterms:created>
  <dcterms:modified xsi:type="dcterms:W3CDTF">2026-01-23T01:03:00Z</dcterms:modified>
</cp:coreProperties>
</file>