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AE6A884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020AE">
        <w:t>Macro conditions reflect an environment where growth is slowing sequentially and earnings revisions are under pressure even as inflation cools from peak levels but remains structurally higher than the pre-COVID regime, a mix consistent with a weaker USD, strong gold and energy complex, modestly higher yields, and flat bonds that together signal a market rotating toward real assets and select cyclicals as investors hedge both slowing real activity and still-sticky nominal pressures.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2C1A"/>
    <w:rsid w:val="0026526D"/>
    <w:rsid w:val="00281CFA"/>
    <w:rsid w:val="002858E7"/>
    <w:rsid w:val="0029176B"/>
    <w:rsid w:val="002A7155"/>
    <w:rsid w:val="002C229E"/>
    <w:rsid w:val="002C3F95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D0F6B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477DA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055D"/>
    <w:rsid w:val="00A24917"/>
    <w:rsid w:val="00A62DEB"/>
    <w:rsid w:val="00A66203"/>
    <w:rsid w:val="00AB5430"/>
    <w:rsid w:val="00AE05E9"/>
    <w:rsid w:val="00AF286D"/>
    <w:rsid w:val="00B020AE"/>
    <w:rsid w:val="00B20151"/>
    <w:rsid w:val="00B24CCD"/>
    <w:rsid w:val="00B275D6"/>
    <w:rsid w:val="00B33B96"/>
    <w:rsid w:val="00B53785"/>
    <w:rsid w:val="00B652DE"/>
    <w:rsid w:val="00B71F8B"/>
    <w:rsid w:val="00B77343"/>
    <w:rsid w:val="00B93B41"/>
    <w:rsid w:val="00BA3171"/>
    <w:rsid w:val="00BA3F76"/>
    <w:rsid w:val="00BB1DD4"/>
    <w:rsid w:val="00C23A8C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06145"/>
    <w:rsid w:val="00F90475"/>
    <w:rsid w:val="00FB3175"/>
    <w:rsid w:val="00FE369B"/>
    <w:rsid w:val="00FE5CF7"/>
    <w:rsid w:val="00FF4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62</cp:revision>
  <dcterms:created xsi:type="dcterms:W3CDTF">2025-10-18T00:25:00Z</dcterms:created>
  <dcterms:modified xsi:type="dcterms:W3CDTF">2026-01-23T01:04:00Z</dcterms:modified>
</cp:coreProperties>
</file>