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days, equity indices have shown a moderate negative linkage to moves in the 10-year yield, with the Nasdaq and S&amp;P 500 displaying the clearest rate sensitivity and small caps somewhat less so. Financials and Utilities show only contained rate sensitivity on this window, suggesting their day-to-day moves have been less tied to yield changes. Compared with the mild 90-day readings, the recent 15–30 day patterns point to more concentrated rate influence in large-cap growth benchmarks than in sector ETFs.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