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9F114" w14:textId="77777777" w:rsidR="001341B6" w:rsidRDefault="00000000">
      <w:pPr>
        <w:jc w:val="center"/>
      </w:pPr>
      <w:r>
        <w:t>Market Read</w:t>
      </w:r>
    </w:p>
    <w:p w14:paraId="56629083" w14:textId="77777777" w:rsidR="001341B6" w:rsidRDefault="00000000">
      <w:bookmarkStart w:id="0" w:name="_Hlk215858569"/>
      <w:r>
        <w:t>Market Read: December 05, 2025</w:t>
      </w:r>
    </w:p>
    <w:p w14:paraId="534EA50F" w14:textId="77777777" w:rsidR="001341B6" w:rsidRDefault="00000000">
      <w:r>
        <w:t>The market is saying:</w:t>
      </w:r>
    </w:p>
    <w:p w14:paraId="0B1F0ECA" w14:textId="77777777" w:rsidR="001341B6" w:rsidRDefault="00000000">
      <w:pPr>
        <w:pStyle w:val="ListBullet"/>
      </w:pPr>
      <w:r>
        <w:t>Breadth: 49.7% of names are positive.</w:t>
      </w:r>
    </w:p>
    <w:p w14:paraId="418702CC" w14:textId="77777777" w:rsidR="001341B6" w:rsidRDefault="00000000">
      <w:pPr>
        <w:pStyle w:val="ListBullet"/>
      </w:pPr>
      <w:r>
        <w:t>Information Technology: leading (avg +0.99%).</w:t>
      </w:r>
    </w:p>
    <w:p w14:paraId="7383146A" w14:textId="77777777" w:rsidR="001341B6" w:rsidRDefault="00000000">
      <w:pPr>
        <w:pStyle w:val="ListBullet"/>
      </w:pPr>
      <w:r>
        <w:t>Industrials: soft (avg -0.14%).</w:t>
      </w:r>
    </w:p>
    <w:p w14:paraId="06B30B37" w14:textId="77777777" w:rsidR="001341B6" w:rsidRDefault="00000000">
      <w:pPr>
        <w:pStyle w:val="ListBullet"/>
      </w:pPr>
      <w:r>
        <w:t>Consumer Staples: firm (avg +0.32%).</w:t>
      </w:r>
    </w:p>
    <w:p w14:paraId="1DC1F541" w14:textId="77777777" w:rsidR="001341B6" w:rsidRDefault="00000000">
      <w:pPr>
        <w:pStyle w:val="ListBullet"/>
      </w:pPr>
      <w:r>
        <w:t>Consumer Discretionary: leading (avg +0.66%).</w:t>
      </w:r>
    </w:p>
    <w:p w14:paraId="34EA81E6" w14:textId="77777777" w:rsidR="001341B6" w:rsidRDefault="00000000">
      <w:pPr>
        <w:pStyle w:val="ListBullet"/>
      </w:pPr>
      <w:r>
        <w:t>Financials: flat (avg -0.09%).</w:t>
      </w:r>
    </w:p>
    <w:p w14:paraId="238632BE" w14:textId="77777777" w:rsidR="001341B6" w:rsidRDefault="00000000">
      <w:pPr>
        <w:pStyle w:val="ListBullet"/>
      </w:pPr>
      <w:r>
        <w:t>Utilities: lagging (avg -0.77%).</w:t>
      </w:r>
    </w:p>
    <w:p w14:paraId="6E5562DC" w14:textId="77777777" w:rsidR="001341B6" w:rsidRDefault="00000000">
      <w:pPr>
        <w:pStyle w:val="ListBullet"/>
      </w:pPr>
      <w:r>
        <w:t>Real Estate: soft (avg -0.31%).</w:t>
      </w:r>
    </w:p>
    <w:p w14:paraId="5CBE88D5" w14:textId="77777777" w:rsidR="001341B6" w:rsidRDefault="00000000">
      <w:pPr>
        <w:pStyle w:val="ListBullet"/>
      </w:pPr>
      <w:r>
        <w:t>Materials: flat (avg +0.06%).</w:t>
      </w:r>
    </w:p>
    <w:p w14:paraId="14943769" w14:textId="77777777" w:rsidR="001341B6" w:rsidRDefault="00000000">
      <w:pPr>
        <w:pStyle w:val="ListBullet"/>
      </w:pPr>
      <w:r>
        <w:t>Energy: flat (avg -0.01%).</w:t>
      </w:r>
    </w:p>
    <w:p w14:paraId="151E7D6E" w14:textId="77777777" w:rsidR="001341B6" w:rsidRDefault="00000000">
      <w:pPr>
        <w:pStyle w:val="ListBullet"/>
      </w:pPr>
      <w:r>
        <w:t>Health Care: flat (avg +0.04%).</w:t>
      </w:r>
    </w:p>
    <w:p w14:paraId="26187946" w14:textId="34F4835C" w:rsidR="001341B6" w:rsidRDefault="00000000" w:rsidP="00062FEB">
      <w:pPr>
        <w:pStyle w:val="ListBullet"/>
      </w:pPr>
      <w:r>
        <w:t>Communication Services: leading (avg +0.64%).</w:t>
      </w:r>
    </w:p>
    <w:p w14:paraId="13F12B9A" w14:textId="77777777" w:rsidR="001341B6" w:rsidRDefault="00000000">
      <w:r>
        <w:t>Macro levers:</w:t>
      </w:r>
    </w:p>
    <w:p w14:paraId="26227D20" w14:textId="77777777" w:rsidR="001341B6" w:rsidRDefault="00000000">
      <w:pPr>
        <w:pStyle w:val="ListBullet"/>
      </w:pPr>
      <w:r>
        <w:t>Gold: flat (avg -0.18%).</w:t>
      </w:r>
    </w:p>
    <w:p w14:paraId="142707B9" w14:textId="77777777" w:rsidR="001341B6" w:rsidRDefault="00000000">
      <w:pPr>
        <w:pStyle w:val="ListBullet"/>
      </w:pPr>
      <w:r>
        <w:t>USD: flat (avg -0.11%).</w:t>
      </w:r>
    </w:p>
    <w:p w14:paraId="3860088B" w14:textId="77777777" w:rsidR="001341B6" w:rsidRDefault="00000000">
      <w:pPr>
        <w:pStyle w:val="ListBullet"/>
      </w:pPr>
      <w:r>
        <w:t>Yields: leading (avg +0.74%).</w:t>
      </w:r>
    </w:p>
    <w:p w14:paraId="57348926" w14:textId="77777777" w:rsidR="001341B6" w:rsidRDefault="00000000">
      <w:pPr>
        <w:pStyle w:val="ListBullet"/>
      </w:pPr>
      <w:r>
        <w:t>Bonds: flat (avg -0.22%).</w:t>
      </w:r>
    </w:p>
    <w:p w14:paraId="28DD47A4" w14:textId="4423833A" w:rsidR="001341B6" w:rsidRDefault="00000000" w:rsidP="00062FEB">
      <w:pPr>
        <w:pStyle w:val="ListBullet"/>
      </w:pPr>
      <w:r>
        <w:t>Energy complex: leading (avg +2.63%).</w:t>
      </w:r>
    </w:p>
    <w:p w14:paraId="4C123798" w14:textId="77777777" w:rsidR="001341B6" w:rsidRDefault="00000000">
      <w:r>
        <w:t>Bottom line: The tape is leaning toward a modestly reflationary, late-cycle slowdown narrative: leadership in Tech, Consumer Discretionary, and Communication Services alongside firm Staples suggests investors are paying up for secular growth and defensiveness as underlying growth decelerates and earnings revisions soften. Rising yields and an energized energy complex, with gold and the dollar essentially flat, point to inflation expectations that are easing from the peak but still not “all clear,” keeping pressure on duration-sensitive pockets like Utilities and Real Estate. Financials, Health Care, Materials, and Energy sitting essentially flat underscore a market that isn’t pricing in an imminent growth accident, but rather a grind lower in activity with sticky-above-trend price levels. Overall, today’s mixed breadth and sector skew are consistent with a market rotating toward quality growth and balance-sheet strength while respecting the risk that slower growth and still-elevated inflation leave policy tight and the cost of capital high.</w:t>
      </w:r>
      <w:bookmarkEnd w:id="0"/>
    </w:p>
    <w:sectPr w:rsidR="001341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0CC5772"/>
    <w:lvl w:ilvl="0">
      <w:start w:val="1"/>
      <w:numFmt w:val="bullet"/>
      <w:pStyle w:val="ListBullet"/>
      <w:lvlText w:val=""/>
      <w:lvlJc w:val="left"/>
      <w:pPr>
        <w:tabs>
          <w:tab w:val="num" w:pos="360"/>
        </w:tabs>
        <w:ind w:left="360" w:hanging="360"/>
      </w:pPr>
      <w:rPr>
        <w:rFonts w:ascii="Symbol" w:hAnsi="Symbol" w:hint="default"/>
      </w:rPr>
    </w:lvl>
  </w:abstractNum>
  <w:num w:numId="1" w16cid:durableId="1892227451">
    <w:abstractNumId w:val="8"/>
  </w:num>
  <w:num w:numId="2" w16cid:durableId="426770715">
    <w:abstractNumId w:val="6"/>
  </w:num>
  <w:num w:numId="3" w16cid:durableId="1568225880">
    <w:abstractNumId w:val="5"/>
  </w:num>
  <w:num w:numId="4" w16cid:durableId="1521092389">
    <w:abstractNumId w:val="4"/>
  </w:num>
  <w:num w:numId="5" w16cid:durableId="1944991682">
    <w:abstractNumId w:val="7"/>
  </w:num>
  <w:num w:numId="6" w16cid:durableId="2072262921">
    <w:abstractNumId w:val="3"/>
  </w:num>
  <w:num w:numId="7" w16cid:durableId="1252666345">
    <w:abstractNumId w:val="2"/>
  </w:num>
  <w:num w:numId="8" w16cid:durableId="2044667221">
    <w:abstractNumId w:val="1"/>
  </w:num>
  <w:num w:numId="9" w16cid:durableId="1342314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FEB"/>
    <w:rsid w:val="001341B6"/>
    <w:rsid w:val="0015074B"/>
    <w:rsid w:val="0029639D"/>
    <w:rsid w:val="00326F90"/>
    <w:rsid w:val="005770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E3E9D0"/>
  <w14:defaultImageDpi w14:val="300"/>
  <w15:docId w15:val="{4728E606-955B-4BD0-8291-483027BEE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237</Words>
  <Characters>1472</Characters>
  <Application>Microsoft Office Word</Application>
  <DocSecurity>0</DocSecurity>
  <Lines>31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Gary Markoski</cp:lastModifiedBy>
  <cp:revision>3</cp:revision>
  <dcterms:created xsi:type="dcterms:W3CDTF">2013-12-23T23:15:00Z</dcterms:created>
  <dcterms:modified xsi:type="dcterms:W3CDTF">2025-12-06T01:23:00Z</dcterms:modified>
  <cp:category/>
</cp:coreProperties>
</file>