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5DAB3" w14:textId="77777777" w:rsidR="002B76E0" w:rsidRDefault="00000000">
      <w:r>
        <w:t>Quarterly Market Read: December 23, 2025</w:t>
      </w:r>
    </w:p>
    <w:p w14:paraId="5020C796" w14:textId="77777777" w:rsidR="002B76E0" w:rsidRDefault="00000000">
      <w:r>
        <w:t>The market is saying (all numbers are QTD % returns):</w:t>
      </w:r>
    </w:p>
    <w:p w14:paraId="1495B2D1" w14:textId="77777777" w:rsidR="002B76E0" w:rsidRDefault="00000000" w:rsidP="008B0733">
      <w:pPr>
        <w:pStyle w:val="ListBullet"/>
        <w:numPr>
          <w:ilvl w:val="0"/>
          <w:numId w:val="10"/>
        </w:numPr>
      </w:pPr>
      <w:r>
        <w:t>Breadth: 52.5% of names are positive.</w:t>
      </w:r>
    </w:p>
    <w:p w14:paraId="4DF9AFED" w14:textId="77777777" w:rsidR="002B76E0" w:rsidRDefault="00000000" w:rsidP="008B0733">
      <w:pPr>
        <w:pStyle w:val="ListBullet"/>
        <w:numPr>
          <w:ilvl w:val="0"/>
          <w:numId w:val="10"/>
        </w:numPr>
      </w:pPr>
      <w:r>
        <w:t>Information Technology: leading (avg +5.02%)</w:t>
      </w:r>
    </w:p>
    <w:p w14:paraId="7EDEF32E" w14:textId="77777777" w:rsidR="002B76E0" w:rsidRDefault="00000000" w:rsidP="008B0733">
      <w:pPr>
        <w:pStyle w:val="ListBullet"/>
        <w:numPr>
          <w:ilvl w:val="0"/>
          <w:numId w:val="10"/>
        </w:numPr>
      </w:pPr>
      <w:r>
        <w:t>Industrials: firm (avg +2.21%)</w:t>
      </w:r>
    </w:p>
    <w:p w14:paraId="4A2434FB" w14:textId="77777777" w:rsidR="002B76E0" w:rsidRDefault="00000000" w:rsidP="008B0733">
      <w:pPr>
        <w:pStyle w:val="ListBullet"/>
        <w:numPr>
          <w:ilvl w:val="0"/>
          <w:numId w:val="10"/>
        </w:numPr>
      </w:pPr>
      <w:r>
        <w:t>Consumer Staples: soft (avg -0.89%)</w:t>
      </w:r>
    </w:p>
    <w:p w14:paraId="6A115207" w14:textId="77777777" w:rsidR="002B76E0" w:rsidRDefault="00000000" w:rsidP="008B0733">
      <w:pPr>
        <w:pStyle w:val="ListBullet"/>
        <w:numPr>
          <w:ilvl w:val="0"/>
          <w:numId w:val="10"/>
        </w:numPr>
      </w:pPr>
      <w:r>
        <w:t>Consumer Discretionary: flat/firm (avg -0.19%)</w:t>
      </w:r>
    </w:p>
    <w:p w14:paraId="3584D65F" w14:textId="77777777" w:rsidR="002B76E0" w:rsidRDefault="00000000" w:rsidP="008B0733">
      <w:pPr>
        <w:pStyle w:val="ListBullet"/>
        <w:numPr>
          <w:ilvl w:val="0"/>
          <w:numId w:val="10"/>
        </w:numPr>
      </w:pPr>
      <w:r>
        <w:t>Financials: firm (avg +2.57%)</w:t>
      </w:r>
    </w:p>
    <w:p w14:paraId="4420CFB5" w14:textId="77777777" w:rsidR="002B76E0" w:rsidRDefault="00000000" w:rsidP="008B0733">
      <w:pPr>
        <w:pStyle w:val="ListBullet"/>
        <w:numPr>
          <w:ilvl w:val="0"/>
          <w:numId w:val="10"/>
        </w:numPr>
      </w:pPr>
      <w:r>
        <w:t>Utilities: soft (avg -2.80%)</w:t>
      </w:r>
    </w:p>
    <w:p w14:paraId="39CD1A63" w14:textId="77777777" w:rsidR="002B76E0" w:rsidRDefault="00000000" w:rsidP="008B0733">
      <w:pPr>
        <w:pStyle w:val="ListBullet"/>
        <w:numPr>
          <w:ilvl w:val="0"/>
          <w:numId w:val="10"/>
        </w:numPr>
      </w:pPr>
      <w:r>
        <w:t>Real Estate: heavy (avg -6.02%)</w:t>
      </w:r>
    </w:p>
    <w:p w14:paraId="0C7A1452" w14:textId="77777777" w:rsidR="002B76E0" w:rsidRDefault="00000000" w:rsidP="008B0733">
      <w:pPr>
        <w:pStyle w:val="ListBullet"/>
        <w:numPr>
          <w:ilvl w:val="0"/>
          <w:numId w:val="10"/>
        </w:numPr>
      </w:pPr>
      <w:r>
        <w:t>Materials: leading (avg +4.31%)</w:t>
      </w:r>
    </w:p>
    <w:p w14:paraId="426A44C9" w14:textId="77777777" w:rsidR="002B76E0" w:rsidRDefault="00000000" w:rsidP="008B0733">
      <w:pPr>
        <w:pStyle w:val="ListBullet"/>
        <w:numPr>
          <w:ilvl w:val="0"/>
          <w:numId w:val="10"/>
        </w:numPr>
      </w:pPr>
      <w:r>
        <w:t>Energy: flat/firm (avg -0.26%)</w:t>
      </w:r>
    </w:p>
    <w:p w14:paraId="01DDB94D" w14:textId="77777777" w:rsidR="002B76E0" w:rsidRDefault="00000000" w:rsidP="008B0733">
      <w:pPr>
        <w:pStyle w:val="ListBullet"/>
        <w:numPr>
          <w:ilvl w:val="0"/>
          <w:numId w:val="10"/>
        </w:numPr>
      </w:pPr>
      <w:r>
        <w:t>Health Care: leading (avg +8.96%)</w:t>
      </w:r>
    </w:p>
    <w:p w14:paraId="321A7020" w14:textId="77777777" w:rsidR="002B76E0" w:rsidRDefault="00000000" w:rsidP="008B0733">
      <w:pPr>
        <w:pStyle w:val="ListBullet"/>
        <w:numPr>
          <w:ilvl w:val="0"/>
          <w:numId w:val="10"/>
        </w:numPr>
      </w:pPr>
      <w:r>
        <w:t>Communication Services: heavy (avg -4.37%)</w:t>
      </w:r>
    </w:p>
    <w:p w14:paraId="3B4C5B76" w14:textId="77777777" w:rsidR="002B76E0" w:rsidRDefault="00000000" w:rsidP="008B0733">
      <w:pPr>
        <w:pStyle w:val="ListBullet"/>
        <w:numPr>
          <w:ilvl w:val="0"/>
          <w:numId w:val="10"/>
        </w:numPr>
      </w:pPr>
      <w:r>
        <w:t>Energy Complex: soft (avg -2.99%)</w:t>
      </w:r>
    </w:p>
    <w:p w14:paraId="501911DB" w14:textId="77777777" w:rsidR="002B76E0" w:rsidRDefault="00000000">
      <w:r>
        <w:t>Macro levers (QTD % returns):</w:t>
      </w:r>
    </w:p>
    <w:p w14:paraId="6CCEEB94" w14:textId="77777777" w:rsidR="002B76E0" w:rsidRDefault="00000000" w:rsidP="008B0733">
      <w:pPr>
        <w:pStyle w:val="ListBullet"/>
        <w:numPr>
          <w:ilvl w:val="0"/>
          <w:numId w:val="11"/>
        </w:numPr>
      </w:pPr>
      <w:r>
        <w:t>Gold: bid (avg +16.36%)</w:t>
      </w:r>
    </w:p>
    <w:p w14:paraId="5930719E" w14:textId="77777777" w:rsidR="002B76E0" w:rsidRDefault="00000000" w:rsidP="008B0733">
      <w:pPr>
        <w:pStyle w:val="ListBullet"/>
        <w:numPr>
          <w:ilvl w:val="0"/>
          <w:numId w:val="11"/>
        </w:numPr>
      </w:pPr>
      <w:r>
        <w:t>USD: falling (avg -2.07%)</w:t>
      </w:r>
    </w:p>
    <w:p w14:paraId="3283A71F" w14:textId="77777777" w:rsidR="002B76E0" w:rsidRDefault="00000000" w:rsidP="008B0733">
      <w:pPr>
        <w:pStyle w:val="ListBullet"/>
        <w:numPr>
          <w:ilvl w:val="0"/>
          <w:numId w:val="11"/>
        </w:numPr>
      </w:pPr>
      <w:r>
        <w:t>Yields: flat (avg +0.88%)</w:t>
      </w:r>
    </w:p>
    <w:p w14:paraId="7FAF193D" w14:textId="77777777" w:rsidR="002B76E0" w:rsidRDefault="00000000" w:rsidP="008B0733">
      <w:pPr>
        <w:pStyle w:val="ListBullet"/>
        <w:numPr>
          <w:ilvl w:val="0"/>
          <w:numId w:val="11"/>
        </w:numPr>
      </w:pPr>
      <w:r>
        <w:t>Bonds: falling (avg -1.43%)</w:t>
      </w:r>
    </w:p>
    <w:p w14:paraId="7B683636" w14:textId="77777777" w:rsidR="002B76E0" w:rsidRDefault="00000000" w:rsidP="008B0733">
      <w:pPr>
        <w:pStyle w:val="ListBullet"/>
        <w:numPr>
          <w:ilvl w:val="0"/>
          <w:numId w:val="11"/>
        </w:numPr>
      </w:pPr>
      <w:r>
        <w:t>Energy Complex (sector-level): falling (avg -2.99%)</w:t>
      </w:r>
    </w:p>
    <w:p w14:paraId="32DBC06F" w14:textId="77777777" w:rsidR="002B76E0" w:rsidRDefault="00000000">
      <w:r>
        <w:t>Bottom line: QTD breadth is only modestly positive with just over half of names higher, and the tape is rewarding classic defensives and secular growers—Health Care, Information Technology, and Materials are leading alongside firm Financials and Industrials—while higher-duration, rate‑sensitive pockets like Real Estate and Utilities are under pressure and Communication Services is heavy, with Consumer sectors and Energy essentially flat. Macro conditions reflect a backdrop where growth is slowing and earnings revisions are grinding lower even as inflation proves sticky above pre‑COVID norms, and the associated mix of a weaker USD, sharply higher Gold, soft Energy complex, flat yields, and declining Bonds is consistent with investors seeking inflation hedges and quality growth exposure while fading cyclicality and balance‑sheet leverage.</w:t>
      </w:r>
    </w:p>
    <w:sectPr w:rsidR="002B76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F95BD2"/>
    <w:multiLevelType w:val="hybridMultilevel"/>
    <w:tmpl w:val="967A5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1E49CB"/>
    <w:multiLevelType w:val="hybridMultilevel"/>
    <w:tmpl w:val="85C08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7928586">
    <w:abstractNumId w:val="8"/>
  </w:num>
  <w:num w:numId="2" w16cid:durableId="377168762">
    <w:abstractNumId w:val="6"/>
  </w:num>
  <w:num w:numId="3" w16cid:durableId="137499097">
    <w:abstractNumId w:val="5"/>
  </w:num>
  <w:num w:numId="4" w16cid:durableId="1170220629">
    <w:abstractNumId w:val="4"/>
  </w:num>
  <w:num w:numId="5" w16cid:durableId="1699819541">
    <w:abstractNumId w:val="7"/>
  </w:num>
  <w:num w:numId="6" w16cid:durableId="945960124">
    <w:abstractNumId w:val="3"/>
  </w:num>
  <w:num w:numId="7" w16cid:durableId="1512144445">
    <w:abstractNumId w:val="2"/>
  </w:num>
  <w:num w:numId="8" w16cid:durableId="1593393116">
    <w:abstractNumId w:val="1"/>
  </w:num>
  <w:num w:numId="9" w16cid:durableId="1253394566">
    <w:abstractNumId w:val="0"/>
  </w:num>
  <w:num w:numId="10" w16cid:durableId="1891771201">
    <w:abstractNumId w:val="9"/>
  </w:num>
  <w:num w:numId="11" w16cid:durableId="442558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76E0"/>
    <w:rsid w:val="00326F90"/>
    <w:rsid w:val="00761B59"/>
    <w:rsid w:val="008B0733"/>
    <w:rsid w:val="00AA1D8D"/>
    <w:rsid w:val="00B454A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8CC61D"/>
  <w14:defaultImageDpi w14:val="300"/>
  <w15:docId w15:val="{7FCFB314-F9D4-46BC-8C11-A4CA5FC70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237</Words>
  <Characters>1355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2025-12-24T01:06:00Z</dcterms:created>
  <dcterms:modified xsi:type="dcterms:W3CDTF">2025-12-24T01:06:00Z</dcterms:modified>
  <cp:category/>
</cp:coreProperties>
</file>