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EF97F1C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6A1F41">
        <w:t>Macro conditions reflect an environment where growth is slowing from elevated levels and forward earnings are being marked down while inflation pressures are easing but still running above pre-COVID norms, and today’s tape is behaving accordingly with a quiet de-risking away from economically sensitive areas into defensives and hard assets.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63F60"/>
    <w:rsid w:val="003643FB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49A6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50</Words>
  <Characters>306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48</cp:revision>
  <dcterms:created xsi:type="dcterms:W3CDTF">2025-10-14T15:51:00Z</dcterms:created>
  <dcterms:modified xsi:type="dcterms:W3CDTF">2025-12-24T01:04:00Z</dcterms:modified>
</cp:coreProperties>
</file>